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eastAsia="宋体" w:cs="Arial"/>
          <w:b/>
          <w:lang w:val="en-US" w:eastAsia="zh-CN"/>
        </w:rPr>
        <w:t>13</w:t>
      </w:r>
      <w:r>
        <w:rPr>
          <w:rFonts w:ascii="Arial" w:hAnsi="Arial" w:cs="Arial"/>
          <w:b/>
          <w:bCs/>
        </w:rPr>
        <w:t xml:space="preserve">     </w:t>
      </w:r>
      <w:r>
        <w:rPr>
          <w:rFonts w:ascii="Arial" w:hAnsi="Arial" w:cs="Arial"/>
          <w:b/>
          <w:bCs/>
        </w:rPr>
        <w:tab/>
      </w:r>
      <w:bookmarkStart w:id="0" w:name="_Hlk41145946"/>
      <w:r>
        <w:rPr>
          <w:rFonts w:hint="eastAsia" w:ascii="Arial" w:hAnsi="Arial" w:eastAsia="宋体" w:cs="Arial"/>
          <w:b/>
          <w:bCs/>
          <w:lang w:val="en-US" w:eastAsia="zh-CN"/>
        </w:rPr>
        <w:t xml:space="preserve">      </w:t>
      </w:r>
      <w:r>
        <w:rPr>
          <w:rFonts w:ascii="Arial" w:hAnsi="Arial" w:cs="Arial"/>
          <w:b/>
          <w:bCs/>
        </w:rPr>
        <w:t>R4-2</w:t>
      </w:r>
      <w:bookmarkEnd w:id="0"/>
      <w:r>
        <w:rPr>
          <w:rFonts w:hint="eastAsia" w:ascii="Arial" w:hAnsi="Arial" w:eastAsia="宋体" w:cs="Arial"/>
          <w:b/>
          <w:bCs/>
          <w:lang w:val="en-US" w:eastAsia="zh-CN"/>
        </w:rPr>
        <w:t>418426</w:t>
      </w:r>
    </w:p>
    <w:p>
      <w:pPr>
        <w:pStyle w:val="15"/>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宋体"/>
          <w:b/>
          <w:sz w:val="22"/>
          <w:lang w:val="en-US" w:eastAsia="zh-CN"/>
        </w:rPr>
      </w:pPr>
      <w:r>
        <w:rPr>
          <w:b/>
          <w:sz w:val="22"/>
        </w:rPr>
        <w:t>Agenda Item:</w:t>
      </w:r>
      <w:r>
        <w:rPr>
          <w:b/>
          <w:sz w:val="22"/>
        </w:rPr>
        <w:tab/>
      </w:r>
      <w:r>
        <w:rPr>
          <w:rFonts w:hint="eastAsia" w:eastAsia="宋体"/>
          <w:sz w:val="22"/>
          <w:highlight w:val="none"/>
          <w:lang w:val="en-US" w:eastAsia="zh-CN"/>
        </w:rPr>
        <w:t>7.16.2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OLE_LINK7"/>
      <w:bookmarkStart w:id="3" w:name="OLE_LINK8"/>
      <w:r>
        <w:rPr>
          <w:sz w:val="22"/>
        </w:rPr>
        <w:t xml:space="preserve"> </w:t>
      </w:r>
      <w:bookmarkStart w:id="7" w:name="_GoBack"/>
      <w:bookmarkEnd w:id="7"/>
      <w:r>
        <w:rPr>
          <w:rFonts w:hint="eastAsia"/>
          <w:sz w:val="22"/>
        </w:rPr>
        <w:t>Discussion on interf</w:t>
      </w:r>
      <w:r>
        <w:rPr>
          <w:rFonts w:hint="eastAsia" w:eastAsia="宋体"/>
          <w:sz w:val="22"/>
          <w:lang w:val="en-US" w:eastAsia="zh-CN"/>
        </w:rPr>
        <w:t>e</w:t>
      </w:r>
      <w:r>
        <w:rPr>
          <w:rFonts w:hint="eastAsia"/>
          <w:sz w:val="22"/>
        </w:rPr>
        <w:t>rence suppressing</w:t>
      </w:r>
      <w:r>
        <w:rPr>
          <w:rFonts w:hint="eastAsia" w:eastAsia="宋体"/>
          <w:sz w:val="22"/>
          <w:lang w:val="en-US" w:eastAsia="zh-CN"/>
        </w:rPr>
        <w:t xml:space="preserve"> performance</w:t>
      </w:r>
      <w:r>
        <w:rPr>
          <w:rFonts w:hint="eastAsia"/>
          <w:sz w:val="22"/>
        </w:rPr>
        <w:t xml:space="preserve"> for </w:t>
      </w:r>
      <w:r>
        <w:rPr>
          <w:rFonts w:hint="eastAsia" w:eastAsia="宋体"/>
          <w:sz w:val="22"/>
          <w:lang w:val="en-US" w:eastAsia="zh-CN"/>
        </w:rPr>
        <w:t>8Rx UE</w:t>
      </w:r>
    </w:p>
    <w:bookmarkEnd w:id="2"/>
    <w:bookmarkEnd w:id="3"/>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last meeting, RAN4 discussed test scope and test parameters about interference suppressing performance for 8Rx UE, the WF has been approved in [1].</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this contribution, we further discuss the remaining open test parameters.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4" w:name="OLE_LINK2"/>
      <w:bookmarkStart w:id="5" w:name="OLE_LINK1"/>
      <w:r>
        <w:rPr>
          <w:rFonts w:hint="eastAsia" w:ascii="Times New Roman" w:hAnsi="Times New Roman" w:eastAsia="宋体"/>
          <w:b w:val="0"/>
          <w:bCs w:val="0"/>
          <w:kern w:val="0"/>
          <w:sz w:val="36"/>
          <w:szCs w:val="36"/>
          <w:lang w:val="en-US" w:eastAsia="zh-CN"/>
        </w:rPr>
        <w:t>Discussion</w:t>
      </w: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PDSCH requirements with inter cell interference</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US" w:eastAsia="ko-KR"/>
        </w:rPr>
      </w:pPr>
      <w:bookmarkStart w:id="6" w:name="_Hlk70326378"/>
      <w:r>
        <w:rPr>
          <w:rFonts w:eastAsia="等线"/>
          <w:b/>
          <w:i/>
          <w:iCs/>
          <w:sz w:val="20"/>
          <w:szCs w:val="20"/>
          <w:u w:val="single"/>
          <w:lang w:val="en-US" w:eastAsia="ko-KR"/>
        </w:rPr>
        <w:t>Interference profile and power levels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Agreement:</w:t>
      </w:r>
    </w:p>
    <w:p>
      <w:pPr>
        <w:pStyle w:val="74"/>
        <w:numPr>
          <w:ilvl w:val="0"/>
          <w:numId w:val="5"/>
        </w:numPr>
        <w:spacing w:after="120"/>
        <w:ind w:firstLineChars="0"/>
        <w:rPr>
          <w:i/>
          <w:iCs/>
          <w:sz w:val="20"/>
          <w:szCs w:val="20"/>
          <w:lang w:val="en-US" w:eastAsia="zh-CN"/>
        </w:rPr>
      </w:pPr>
      <w:r>
        <w:rPr>
          <w:i/>
          <w:iCs/>
          <w:sz w:val="20"/>
          <w:szCs w:val="20"/>
          <w:lang w:val="en-US" w:eastAsia="zh-CN"/>
        </w:rPr>
        <w:t>Reuse the same interference profiles (i.e., cover HomNet and Hetnet scenarios) and same power levels (i.e., INR values) defined for Rel-17 2/4Rx.</w:t>
      </w:r>
    </w:p>
    <w:p>
      <w:pPr>
        <w:pStyle w:val="74"/>
        <w:numPr>
          <w:ilvl w:val="0"/>
          <w:numId w:val="5"/>
        </w:numPr>
        <w:spacing w:after="120"/>
        <w:ind w:firstLineChars="0"/>
        <w:rPr>
          <w:i/>
          <w:iCs/>
          <w:sz w:val="20"/>
          <w:szCs w:val="20"/>
          <w:lang w:val="en-US" w:eastAsia="zh-CN"/>
        </w:rPr>
      </w:pPr>
      <w:r>
        <w:rPr>
          <w:i/>
          <w:iCs/>
          <w:sz w:val="20"/>
          <w:szCs w:val="20"/>
          <w:lang w:val="en-US" w:eastAsia="zh-CN"/>
        </w:rPr>
        <w:t>TBD: Further discuss applicability rules to potentially reduce UE effort to only comply to either 1 or 2 interference cells.</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In Rel-17, if UE supporting both duplex mode TDD and FDD with 2RX or 4Rx, then only HomNet FDD test and HetNet TDD test will be applied.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8Rx, we are fine to use same approach to decrease the test effort.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Introduce the applicability rule that if UE supporting both duplex mode TDD and FDD with 8Rx, then only HomNet FDD test and HetNet TDD test will be applied.</w:t>
      </w:r>
    </w:p>
    <w:p>
      <w:pPr>
        <w:tabs>
          <w:tab w:val="left" w:pos="1134"/>
        </w:tabs>
        <w:spacing w:before="156" w:beforeLines="50"/>
        <w:jc w:val="both"/>
        <w:rPr>
          <w:rFonts w:hint="eastAsia" w:eastAsia="等线"/>
          <w:b/>
          <w:bCs/>
          <w:i/>
          <w:i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US" w:eastAsia="ko-KR"/>
        </w:rPr>
      </w:pPr>
      <w:r>
        <w:rPr>
          <w:rFonts w:eastAsia="等线"/>
          <w:b/>
          <w:i/>
          <w:iCs/>
          <w:sz w:val="20"/>
          <w:szCs w:val="20"/>
          <w:u w:val="single"/>
          <w:lang w:val="en-US" w:eastAsia="ko-KR"/>
        </w:rPr>
        <w:t>Other parameters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ko-KR" w:bidi="ar-SA"/>
        </w:rPr>
      </w:pPr>
      <w:r>
        <w:rPr>
          <w:rFonts w:ascii="Times New Roman" w:hAnsi="Times New Roman" w:eastAsia="宋体" w:cs="Times New Roman"/>
          <w:i/>
          <w:iCs/>
          <w:sz w:val="20"/>
          <w:szCs w:val="20"/>
          <w:lang w:val="en-US" w:eastAsia="ko-KR" w:bidi="ar-SA"/>
        </w:rPr>
        <w:t>Agreement</w:t>
      </w:r>
    </w:p>
    <w:p>
      <w:pPr>
        <w:pStyle w:val="74"/>
        <w:numPr>
          <w:ilvl w:val="0"/>
          <w:numId w:val="5"/>
        </w:numPr>
        <w:spacing w:after="120"/>
        <w:ind w:firstLineChars="0"/>
        <w:rPr>
          <w:i/>
          <w:iCs/>
          <w:sz w:val="20"/>
          <w:szCs w:val="20"/>
          <w:lang w:val="en-US" w:eastAsia="zh-CN"/>
        </w:rPr>
      </w:pPr>
      <w:r>
        <w:rPr>
          <w:i/>
          <w:iCs/>
          <w:sz w:val="20"/>
          <w:szCs w:val="20"/>
          <w:lang w:val="en-US" w:eastAsia="zh-CN"/>
        </w:rPr>
        <w:t>Use 2Tx for interreference cell.</w:t>
      </w:r>
    </w:p>
    <w:p>
      <w:pPr>
        <w:pStyle w:val="74"/>
        <w:numPr>
          <w:ilvl w:val="0"/>
          <w:numId w:val="5"/>
        </w:numPr>
        <w:spacing w:after="120"/>
        <w:ind w:firstLineChars="0"/>
        <w:rPr>
          <w:i/>
          <w:iCs/>
          <w:sz w:val="20"/>
          <w:szCs w:val="20"/>
          <w:lang w:val="en-US" w:eastAsia="zh-CN"/>
        </w:rPr>
      </w:pPr>
      <w:r>
        <w:rPr>
          <w:i/>
          <w:iCs/>
          <w:sz w:val="20"/>
          <w:szCs w:val="20"/>
          <w:lang w:val="en-US" w:eastAsia="zh-CN"/>
        </w:rPr>
        <w:t>Frequency shift to the target cell: 300Hz for interference cell 1, -100Hz for interference cell 2</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SSB configuration as Rel-17 </w:t>
      </w:r>
    </w:p>
    <w:p>
      <w:pPr>
        <w:pStyle w:val="74"/>
        <w:numPr>
          <w:ilvl w:val="0"/>
          <w:numId w:val="5"/>
        </w:numPr>
        <w:spacing w:after="120"/>
        <w:ind w:firstLineChars="0"/>
        <w:rPr>
          <w:i/>
          <w:iCs/>
          <w:sz w:val="20"/>
          <w:szCs w:val="20"/>
          <w:lang w:val="en-US" w:eastAsia="zh-CN"/>
        </w:rPr>
      </w:pPr>
      <w:r>
        <w:rPr>
          <w:i/>
          <w:iCs/>
          <w:sz w:val="20"/>
          <w:szCs w:val="20"/>
          <w:lang w:val="en-US" w:eastAsia="zh-CN"/>
        </w:rPr>
        <w:t>Transmission rank: Random rank with 70% and 30% probability for rank 1 and rank 2 for all interference cells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Remaining proposals</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1: </w:t>
      </w:r>
      <w:r>
        <w:rPr>
          <w:i/>
          <w:iCs/>
          <w:sz w:val="20"/>
          <w:szCs w:val="20"/>
          <w:lang w:val="en-US" w:eastAsia="zh-CN"/>
        </w:rPr>
        <w:br w:type="textWrapping"/>
      </w:r>
      <w:r>
        <w:rPr>
          <w:i/>
          <w:iCs/>
          <w:sz w:val="20"/>
          <w:szCs w:val="20"/>
          <w:lang w:val="en-US" w:eastAsia="zh-CN"/>
        </w:rPr>
        <w:t>- For PDSCH configuration, DMRS configuration, TRS configuration, HARQ, precoding, Tx EVM, Test metric and other parameters, reuse the configuration from 8Rx requirement as the baseline.</w:t>
      </w:r>
      <w:r>
        <w:rPr>
          <w:i/>
          <w:iCs/>
          <w:sz w:val="20"/>
          <w:szCs w:val="20"/>
          <w:lang w:val="en-US" w:eastAsia="zh-CN"/>
        </w:rPr>
        <w:br w:type="textWrapping"/>
      </w:r>
      <w:r>
        <w:rPr>
          <w:i/>
          <w:iCs/>
          <w:sz w:val="20"/>
          <w:szCs w:val="20"/>
          <w:lang w:val="en-US" w:eastAsia="zh-CN"/>
        </w:rPr>
        <w:t>- For PCI and SSB configuration of serving cell and interference cell(s), Rank/MCS, precoding, timing and frequency offset, and other interference cell modeling parameters, reuse the configuration from R17 2/4Rx inter-cell interference suppressing requirement as the baseline.</w:t>
      </w:r>
    </w:p>
    <w:p>
      <w:pPr>
        <w:pStyle w:val="74"/>
        <w:numPr>
          <w:ilvl w:val="0"/>
          <w:numId w:val="5"/>
        </w:numPr>
        <w:spacing w:after="120"/>
        <w:ind w:firstLineChars="0"/>
        <w:rPr>
          <w:i/>
          <w:iCs/>
          <w:sz w:val="20"/>
          <w:szCs w:val="20"/>
          <w:lang w:val="en-US" w:eastAsia="zh-CN"/>
        </w:rPr>
      </w:pPr>
      <w:r>
        <w:rPr>
          <w:i/>
          <w:iCs/>
          <w:sz w:val="20"/>
          <w:szCs w:val="20"/>
          <w:lang w:val="en-US" w:eastAsia="zh-CN"/>
        </w:rPr>
        <w:t>Option 2: For not specifically agreed parameters in this WID, reuse the same configuration for Rel-17 2/4Rx for MMSE-IRC as a starting point for initial evaluation.</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the PDSCH configuration, DMRS configuration (lower than Rank 4), TRS configuration, HARQ setup, Test metric, and Tx EVM, same configurations are used for Rel-17 2/4Rx WI and Rel-18 8Rx WI. Here, we also propose to reuse the configuration as follows:</w:t>
      </w:r>
    </w:p>
    <w:tbl>
      <w:tblPr>
        <w:tblStyle w:val="19"/>
        <w:tblW w:w="7915" w:type="dxa"/>
        <w:tblInd w:w="3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413"/>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shd w:val="clear" w:color="auto" w:fill="auto"/>
          </w:tcPr>
          <w:p>
            <w:pPr>
              <w:pStyle w:val="32"/>
              <w:rPr>
                <w:rFonts w:ascii="Times New Roman" w:hAnsi="Times New Roman" w:eastAsia="宋体"/>
              </w:rPr>
            </w:pPr>
            <w:r>
              <w:rPr>
                <w:rFonts w:ascii="Times New Roman" w:hAnsi="Times New Roman" w:eastAsia="宋体"/>
              </w:rPr>
              <w:t>Parameter</w:t>
            </w:r>
          </w:p>
        </w:tc>
        <w:tc>
          <w:tcPr>
            <w:tcW w:w="3773" w:type="dxa"/>
            <w:shd w:val="clear" w:color="auto" w:fill="auto"/>
          </w:tcPr>
          <w:p>
            <w:pPr>
              <w:pStyle w:val="32"/>
              <w:rPr>
                <w:rFonts w:ascii="Times New Roman" w:hAnsi="Times New Roman" w:eastAsia="宋体"/>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configuration</w:t>
            </w:r>
          </w:p>
        </w:tc>
        <w:tc>
          <w:tcPr>
            <w:tcW w:w="2413" w:type="dxa"/>
            <w:shd w:val="clear" w:color="auto" w:fill="auto"/>
          </w:tcPr>
          <w:p>
            <w:pPr>
              <w:pStyle w:val="28"/>
              <w:rPr>
                <w:rFonts w:ascii="Times New Roman" w:hAnsi="Times New Roman" w:eastAsia="宋体"/>
              </w:rPr>
            </w:pPr>
            <w:r>
              <w:rPr>
                <w:rFonts w:ascii="Times New Roman" w:hAnsi="Times New Roman" w:eastAsia="宋体"/>
              </w:rPr>
              <w:t>Mapping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k0</w:t>
            </w:r>
          </w:p>
        </w:tc>
        <w:tc>
          <w:tcPr>
            <w:tcW w:w="3773" w:type="dxa"/>
            <w:shd w:val="clear" w:color="auto" w:fill="auto"/>
          </w:tcPr>
          <w:p>
            <w:pPr>
              <w:pStyle w:val="27"/>
              <w:rPr>
                <w:rFonts w:ascii="Times New Roman" w:hAnsi="Times New Roman" w:eastAsia="宋体"/>
              </w:rPr>
            </w:pPr>
            <w:r>
              <w:rPr>
                <w:rFonts w:ascii="Times New Roman" w:hAnsi="Times New Roman" w:eastAsia="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 xml:space="preserve">Starting symbol (S) </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Length (L)</w:t>
            </w:r>
          </w:p>
        </w:tc>
        <w:tc>
          <w:tcPr>
            <w:tcW w:w="3773" w:type="dxa"/>
            <w:shd w:val="clear" w:color="auto" w:fill="auto"/>
          </w:tcPr>
          <w:p>
            <w:pPr>
              <w:pStyle w:val="27"/>
              <w:rPr>
                <w:rFonts w:ascii="Times New Roman" w:hAnsi="Times New Roman" w:eastAsia="宋体"/>
              </w:rPr>
            </w:pPr>
            <w:r>
              <w:rPr>
                <w:rFonts w:ascii="Times New Roman" w:hAnsi="Times New Roman" w:eastAsia="宋体"/>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i/>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PRB bundling size</w:t>
            </w:r>
          </w:p>
        </w:tc>
        <w:tc>
          <w:tcPr>
            <w:tcW w:w="3773" w:type="dxa"/>
            <w:shd w:val="clear" w:color="auto" w:fill="auto"/>
          </w:tcPr>
          <w:p>
            <w:pPr>
              <w:pStyle w:val="27"/>
              <w:rPr>
                <w:rFonts w:ascii="Times New Roman" w:hAnsi="Times New Roman" w:eastAsia="宋体"/>
              </w:rPr>
            </w:pPr>
            <w:r>
              <w:rPr>
                <w:rFonts w:ascii="Times New Roman" w:hAnsi="Times New Roman"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729" w:type="dxa"/>
            <w:tcBorders>
              <w:bottom w:val="nil"/>
            </w:tcBorders>
            <w:shd w:val="clear" w:color="auto" w:fill="auto"/>
          </w:tcPr>
          <w:p>
            <w:pPr>
              <w:pStyle w:val="28"/>
              <w:rPr>
                <w:rFonts w:ascii="Times New Roman" w:hAnsi="Times New Roman" w:eastAsia="宋体"/>
              </w:rPr>
            </w:pPr>
            <w:r>
              <w:rPr>
                <w:rFonts w:ascii="Times New Roman" w:hAnsi="Times New Roman" w:eastAsia="宋体"/>
              </w:rPr>
              <w:t>PDSCH DMRS configuration</w:t>
            </w:r>
          </w:p>
        </w:tc>
        <w:tc>
          <w:tcPr>
            <w:tcW w:w="2413" w:type="dxa"/>
            <w:shd w:val="clear" w:color="auto" w:fill="auto"/>
          </w:tcPr>
          <w:p>
            <w:pPr>
              <w:pStyle w:val="28"/>
              <w:rPr>
                <w:rFonts w:ascii="Times New Roman" w:hAnsi="Times New Roman" w:eastAsia="宋体"/>
                <w:szCs w:val="18"/>
              </w:rPr>
            </w:pPr>
            <w:r>
              <w:rPr>
                <w:rFonts w:ascii="Times New Roman" w:hAnsi="Times New Roman" w:eastAsia="宋体"/>
                <w:szCs w:val="18"/>
              </w:rPr>
              <w:t>DMRS Type</w:t>
            </w:r>
          </w:p>
        </w:tc>
        <w:tc>
          <w:tcPr>
            <w:tcW w:w="3773" w:type="dxa"/>
            <w:shd w:val="clear" w:color="auto" w:fill="auto"/>
          </w:tcPr>
          <w:p>
            <w:pPr>
              <w:pStyle w:val="27"/>
              <w:rPr>
                <w:rFonts w:ascii="Times New Roman" w:hAnsi="Times New Roman" w:eastAsia="宋体"/>
              </w:rPr>
            </w:pPr>
            <w:r>
              <w:rPr>
                <w:rFonts w:ascii="Times New Roman" w:hAnsi="Times New Roman" w:eastAsia="宋体"/>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nil"/>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Number of additional DMRS</w:t>
            </w:r>
          </w:p>
        </w:tc>
        <w:tc>
          <w:tcPr>
            <w:tcW w:w="3773" w:type="dxa"/>
            <w:shd w:val="clear" w:color="auto" w:fill="auto"/>
          </w:tcPr>
          <w:p>
            <w:pPr>
              <w:pStyle w:val="27"/>
              <w:rPr>
                <w:rFonts w:ascii="Times New Roman" w:hAnsi="Times New Roman" w:eastAsia="宋体"/>
              </w:rPr>
            </w:pPr>
            <w:r>
              <w:rPr>
                <w:rFonts w:ascii="Times New Roman" w:hAnsi="Times New Roman"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9" w:type="dxa"/>
            <w:tcBorders>
              <w:top w:val="nil"/>
              <w:bottom w:val="single" w:color="auto" w:sz="4" w:space="0"/>
            </w:tcBorders>
            <w:shd w:val="clear" w:color="auto" w:fill="auto"/>
          </w:tcPr>
          <w:p>
            <w:pPr>
              <w:pStyle w:val="28"/>
              <w:rPr>
                <w:rFonts w:ascii="Times New Roman" w:hAnsi="Times New Roman" w:eastAsia="宋体"/>
              </w:rPr>
            </w:pPr>
          </w:p>
        </w:tc>
        <w:tc>
          <w:tcPr>
            <w:tcW w:w="2413" w:type="dxa"/>
            <w:shd w:val="clear" w:color="auto" w:fill="auto"/>
          </w:tcPr>
          <w:p>
            <w:pPr>
              <w:pStyle w:val="28"/>
              <w:rPr>
                <w:rFonts w:ascii="Times New Roman" w:hAnsi="Times New Roman" w:eastAsia="宋体"/>
              </w:rPr>
            </w:pPr>
            <w:r>
              <w:rPr>
                <w:rFonts w:ascii="Times New Roman" w:hAnsi="Times New Roman" w:eastAsia="宋体"/>
              </w:rPr>
              <w:t>Maximum number of OFDM symbols (maxLength) for DL</w:t>
            </w:r>
          </w:p>
        </w:tc>
        <w:tc>
          <w:tcPr>
            <w:tcW w:w="3773" w:type="dxa"/>
            <w:shd w:val="clear" w:color="auto" w:fill="auto"/>
          </w:tcPr>
          <w:p>
            <w:pPr>
              <w:pStyle w:val="27"/>
              <w:rPr>
                <w:rFonts w:hint="default" w:ascii="Times New Roman" w:hAnsi="Times New Roman" w:eastAsia="宋体"/>
                <w:lang w:val="en-US" w:eastAsia="zh-CN"/>
              </w:rPr>
            </w:pPr>
            <w:r>
              <w:rPr>
                <w:rFonts w:ascii="Times New Roman" w:hAnsi="Times New Roman" w:eastAsia="宋体"/>
              </w:rPr>
              <w:t>Single-symbol</w:t>
            </w:r>
            <w:r>
              <w:rPr>
                <w:rFonts w:hint="eastAsia" w:ascii="Times New Roman" w:hAnsi="Times New Roman" w:eastAsia="宋体"/>
                <w:lang w:val="en-US" w:eastAsia="zh-CN"/>
              </w:rPr>
              <w:t xml:space="preserve"> for rank</w:t>
            </w:r>
            <w:r>
              <w:rPr>
                <w:rFonts w:hint="default" w:ascii="Times New Roman" w:hAnsi="Times New Roman" w:eastAsia="宋体"/>
                <w:lang w:val="en-US" w:eastAsia="zh-CN"/>
              </w:rPr>
              <w:t>≤</w:t>
            </w:r>
            <w:r>
              <w:rPr>
                <w:rFonts w:hint="eastAsia" w:ascii="Times New Roman" w:hAnsi="Times New Roman"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2" w:type="dxa"/>
            <w:gridSpan w:val="2"/>
            <w:tcBorders>
              <w:top w:val="nil"/>
              <w:bottom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RS configuration</w:t>
            </w:r>
          </w:p>
        </w:tc>
        <w:tc>
          <w:tcPr>
            <w:tcW w:w="3773" w:type="dxa"/>
            <w:shd w:val="clear" w:color="auto" w:fill="auto"/>
          </w:tcPr>
          <w:p>
            <w:pPr>
              <w:pStyle w:val="27"/>
              <w:rPr>
                <w:rFonts w:ascii="Times New Roman" w:hAnsi="Times New Roman" w:eastAsia="宋体"/>
                <w:lang w:eastAsia="zh-CN"/>
              </w:rPr>
            </w:pPr>
            <w:r>
              <w:rPr>
                <w:rFonts w:ascii="Times New Roman" w:hAnsi="Times New Roman" w:eastAsia="宋体"/>
                <w:lang w:eastAsia="zh-CN"/>
              </w:rPr>
              <w:t>Symbol#{5,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rPr>
            </w:pPr>
            <w:r>
              <w:rPr>
                <w:rFonts w:ascii="Times New Roman" w:hAnsi="Times New Roman" w:eastAsia="宋体"/>
                <w:lang w:val="en-US"/>
              </w:rPr>
              <w:t>Number of HARQ Processes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 xml:space="preserve">TDD: </w:t>
            </w:r>
            <w:r>
              <w:rPr>
                <w:rFonts w:hint="eastAsia" w:ascii="Times New Roman" w:hAnsi="Times New Roman" w:eastAsia="宋体"/>
                <w:lang w:eastAsia="zh-CN"/>
              </w:rPr>
              <w:t>8</w:t>
            </w:r>
          </w:p>
          <w:p>
            <w:pPr>
              <w:pStyle w:val="27"/>
              <w:rPr>
                <w:rFonts w:ascii="Times New Roman" w:hAnsi="Times New Roman" w:eastAsia="宋体"/>
                <w:lang w:eastAsia="zh-CN"/>
              </w:rPr>
            </w:pPr>
            <w:r>
              <w:rPr>
                <w:rFonts w:ascii="Times New Roman" w:hAnsi="Times New Roman" w:eastAsia="宋体"/>
                <w:lang w:eastAsia="zh-CN"/>
              </w:rPr>
              <w:t>FDD: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ascii="Times New Roman" w:hAnsi="Times New Roman" w:eastAsia="宋体"/>
                <w:lang w:eastAsia="zh-CN"/>
              </w:rPr>
              <w:t>HARQ ACK/NACK bundling</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ascii="Times New Roman" w:hAnsi="Times New Roman" w:eastAsia="宋体"/>
                <w:lang w:eastAsia="zh-CN"/>
              </w:rPr>
              <w:t>Multiplexed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eastAsia="zh-CN"/>
              </w:rPr>
            </w:pPr>
            <w:r>
              <w:rPr>
                <w:rFonts w:hint="eastAsia" w:ascii="Times New Roman" w:hAnsi="Times New Roman" w:eastAsia="宋体"/>
                <w:lang w:eastAsia="zh-CN"/>
              </w:rPr>
              <w:t>M</w:t>
            </w:r>
            <w:r>
              <w:rPr>
                <w:rFonts w:ascii="Times New Roman" w:hAnsi="Times New Roman" w:eastAsia="宋体"/>
                <w:lang w:eastAsia="zh-CN"/>
              </w:rPr>
              <w:t>aximum HARQ transmissions</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27"/>
              <w:rPr>
                <w:rFonts w:ascii="Times New Roman" w:hAnsi="Times New Roman" w:eastAsia="宋体"/>
                <w:lang w:eastAsia="zh-CN"/>
              </w:rPr>
            </w:pPr>
            <w:r>
              <w:rPr>
                <w:rFonts w:hint="eastAsia" w:ascii="Times New Roman" w:hAnsi="Times New Roman"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28"/>
              <w:rPr>
                <w:rFonts w:ascii="Times New Roman" w:hAnsi="Times New Roman" w:eastAsia="宋体"/>
                <w:lang w:eastAsia="zh-CN"/>
              </w:rPr>
            </w:pPr>
            <w:r>
              <w:rPr>
                <w:rFonts w:ascii="Times New Roman" w:hAnsi="Times New Roman" w:eastAsia="宋体"/>
                <w:lang w:eastAsia="zh-CN"/>
              </w:rPr>
              <w:t>Redundancy version coding sequence</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7"/>
              <w:rPr>
                <w:rFonts w:ascii="Times New Roman" w:hAnsi="Times New Roman" w:eastAsia="宋体"/>
                <w:lang w:eastAsia="zh-CN"/>
              </w:rPr>
            </w:pPr>
            <w:r>
              <w:rPr>
                <w:rFonts w:ascii="Times New Roman" w:hAnsi="Times New Roman" w:eastAsia="宋体"/>
                <w:lang w:eastAsia="zh-CN"/>
              </w:rPr>
              <w:t>{0,2,3,1}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x EVM (Explicitly modeled in the simulation)</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64QAM:6</w:t>
            </w:r>
            <w:r>
              <w:rPr>
                <w:rFonts w:hint="eastAsia" w:ascii="Times New Roman" w:hAnsi="Times New Roman" w:eastAsia="宋体" w:cs="Times New Roman"/>
                <w:sz w:val="18"/>
                <w:szCs w:val="20"/>
                <w:lang w:val="en-GB" w:eastAsia="zh-CN" w:bidi="ar-SA"/>
              </w:rPr>
              <w:t>%</w:t>
            </w:r>
          </w:p>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256QAM</w:t>
            </w:r>
            <w:r>
              <w:rPr>
                <w:rFonts w:hint="eastAsia" w:ascii="Times New Roman" w:hAnsi="Times New Roman" w:eastAsia="宋体" w:cs="Times New Roman"/>
                <w:sz w:val="18"/>
                <w:szCs w:val="20"/>
                <w:lang w:val="en-GB"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42" w:type="dxa"/>
            <w:gridSpan w:val="2"/>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lang w:val="en-US" w:eastAsia="zh-CN"/>
              </w:rPr>
            </w:pPr>
            <w:r>
              <w:rPr>
                <w:rFonts w:hint="eastAsia" w:ascii="Times New Roman" w:hAnsi="Times New Roman" w:eastAsia="宋体"/>
                <w:lang w:val="en-US" w:eastAsia="zh-CN"/>
              </w:rPr>
              <w:t>T</w:t>
            </w:r>
            <w:r>
              <w:rPr>
                <w:rFonts w:ascii="Times New Roman" w:hAnsi="Times New Roman" w:eastAsia="宋体"/>
                <w:lang w:val="en-US" w:eastAsia="zh-CN"/>
              </w:rPr>
              <w:t>est metric</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overflowPunct/>
              <w:autoSpaceDE/>
              <w:autoSpaceDN/>
              <w:adjustRightInd/>
              <w:spacing w:after="0"/>
              <w:jc w:val="center"/>
              <w:textAlignment w:val="auto"/>
              <w:rPr>
                <w:rFonts w:ascii="Times New Roman" w:hAnsi="Times New Roman" w:eastAsia="宋体" w:cs="Times New Roman"/>
                <w:sz w:val="18"/>
                <w:szCs w:val="20"/>
                <w:lang w:val="en-GB" w:eastAsia="zh-CN" w:bidi="ar-SA"/>
              </w:rPr>
            </w:pPr>
            <w:r>
              <w:rPr>
                <w:rFonts w:ascii="Times New Roman" w:hAnsi="Times New Roman" w:eastAsia="宋体" w:cs="Times New Roman"/>
                <w:sz w:val="18"/>
                <w:szCs w:val="20"/>
                <w:lang w:val="en-GB" w:eastAsia="zh-CN" w:bidi="ar-SA"/>
              </w:rPr>
              <w:t>SNR@</w:t>
            </w:r>
            <w:r>
              <w:rPr>
                <w:rFonts w:hint="eastAsia" w:ascii="Times New Roman" w:hAnsi="Times New Roman" w:eastAsia="宋体" w:cs="Times New Roman"/>
                <w:sz w:val="18"/>
                <w:szCs w:val="20"/>
                <w:lang w:val="en-GB" w:eastAsia="zh-CN" w:bidi="ar-SA"/>
              </w:rPr>
              <w:t>7</w:t>
            </w:r>
            <w:r>
              <w:rPr>
                <w:rFonts w:ascii="Times New Roman" w:hAnsi="Times New Roman" w:eastAsia="宋体" w:cs="Times New Roman"/>
                <w:sz w:val="18"/>
                <w:szCs w:val="20"/>
                <w:lang w:val="en-GB" w:eastAsia="zh-CN" w:bidi="ar-SA"/>
              </w:rPr>
              <w:t>0% max TP</w:t>
            </w:r>
          </w:p>
        </w:tc>
      </w:tr>
    </w:tbl>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rPr>
        <w:t>For the PDSCH configuration, DMRS configuration (lower than Rank 4), TRS configuration, HARQ setup, Test metric, and Tx EVM</w:t>
      </w:r>
      <w:r>
        <w:rPr>
          <w:rFonts w:hint="eastAsia" w:eastAsia="等线"/>
          <w:b/>
          <w:bCs/>
          <w:i/>
          <w:iCs/>
          <w:sz w:val="20"/>
          <w:szCs w:val="20"/>
          <w:lang w:val="en-US" w:eastAsia="zh-CN"/>
        </w:rPr>
        <w:t>, reuse the configuration from Rel-17 2/4Rx WI and Rel-18 8Rx WI, which are same.</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For interference cell related configuration, including PCI configuration, Interference PDSCH allocation and precoding, Timing shift to the target cell, propagation condition, we propose to reuse the configuration from R17 2/4Rx inter-cell interference suppressing requirement as following:</w:t>
      </w:r>
    </w:p>
    <w:p>
      <w:pPr>
        <w:tabs>
          <w:tab w:val="left" w:pos="1134"/>
        </w:tabs>
        <w:spacing w:before="60"/>
        <w:jc w:val="both"/>
        <w:rPr>
          <w:rFonts w:hint="default" w:eastAsia="等线"/>
          <w:sz w:val="20"/>
          <w:szCs w:val="20"/>
          <w:lang w:val="en-US" w:eastAsia="zh-CN"/>
        </w:rPr>
      </w:pPr>
    </w:p>
    <w:tbl>
      <w:tblPr>
        <w:tblStyle w:val="20"/>
        <w:tblW w:w="0" w:type="auto"/>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23"/>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vAlign w:val="top"/>
          </w:tcPr>
          <w:p>
            <w:pPr>
              <w:pStyle w:val="32"/>
              <w:rPr>
                <w:sz w:val="18"/>
                <w:szCs w:val="18"/>
              </w:rPr>
            </w:pPr>
            <w:r>
              <w:rPr>
                <w:rFonts w:ascii="Times New Roman" w:hAnsi="Times New Roman" w:eastAsia="宋体"/>
              </w:rPr>
              <w:t>Parameter</w:t>
            </w:r>
          </w:p>
        </w:tc>
        <w:tc>
          <w:tcPr>
            <w:tcW w:w="4089" w:type="dxa"/>
            <w:vAlign w:val="top"/>
          </w:tcPr>
          <w:p>
            <w:pPr>
              <w:pStyle w:val="32"/>
              <w:rPr>
                <w:sz w:val="18"/>
                <w:szCs w:val="18"/>
              </w:rPr>
            </w:pPr>
            <w:r>
              <w:rPr>
                <w:rFonts w:ascii="Times New Roman" w:hAnsi="Times New Roman" w:eastAsia="宋体"/>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Physical cell ID</w:t>
            </w:r>
          </w:p>
        </w:tc>
        <w:tc>
          <w:tcPr>
            <w:tcW w:w="4089" w:type="dxa"/>
          </w:tcPr>
          <w:p>
            <w:pPr>
              <w:rPr>
                <w:rFonts w:hint="default" w:eastAsia="等线"/>
                <w:sz w:val="18"/>
                <w:szCs w:val="18"/>
                <w:lang w:val="en-US" w:eastAsia="zh-CN"/>
              </w:rPr>
            </w:pPr>
            <w:r>
              <w:rPr>
                <w:sz w:val="18"/>
                <w:szCs w:val="18"/>
              </w:rPr>
              <w:t xml:space="preserve">Physical cell ID of 0 for the serving cell, and cell ID </w:t>
            </w:r>
            <w:r>
              <w:rPr>
                <w:rFonts w:hint="eastAsia"/>
                <w:sz w:val="18"/>
                <w:szCs w:val="18"/>
              </w:rPr>
              <w:t>1</w:t>
            </w:r>
            <w:r>
              <w:rPr>
                <w:sz w:val="18"/>
                <w:szCs w:val="18"/>
              </w:rPr>
              <w:t xml:space="preserve"> for interferer </w:t>
            </w:r>
            <w:r>
              <w:rPr>
                <w:rFonts w:hint="eastAsia"/>
                <w:sz w:val="18"/>
                <w:szCs w:val="18"/>
              </w:rPr>
              <w:t>1,</w:t>
            </w:r>
            <w:r>
              <w:rPr>
                <w:sz w:val="18"/>
                <w:szCs w:val="18"/>
              </w:rPr>
              <w:t xml:space="preserve"> cell ID 2 for interferer 2</w:t>
            </w:r>
            <w:r>
              <w:rPr>
                <w:rFonts w:hint="eastAsia"/>
                <w:sz w:val="18"/>
                <w:szCs w:val="18"/>
                <w:lang w:val="en-US" w:eastAsia="zh-CN"/>
              </w:rPr>
              <w:t xml:space="preserve"> </w:t>
            </w:r>
            <w:r>
              <w:rPr>
                <w:sz w:val="18"/>
                <w:szCs w:val="18"/>
              </w:rPr>
              <w:t>in case of 2 interference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sz w:val="18"/>
                <w:szCs w:val="18"/>
              </w:rPr>
              <w:t>Precoding of interfering PDSCH</w:t>
            </w:r>
          </w:p>
        </w:tc>
        <w:tc>
          <w:tcPr>
            <w:tcW w:w="4089" w:type="dxa"/>
          </w:tcPr>
          <w:p>
            <w:pPr>
              <w:tabs>
                <w:tab w:val="left" w:pos="720"/>
              </w:tabs>
              <w:rPr>
                <w:sz w:val="18"/>
                <w:szCs w:val="18"/>
              </w:rPr>
            </w:pPr>
            <w:r>
              <w:rPr>
                <w:sz w:val="18"/>
                <w:szCs w:val="18"/>
              </w:rPr>
              <w:t>Random precoding with single panel type I codebook per slot and per PRB bundling granularity, with PRB bundling size of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T</w:t>
            </w:r>
            <w:r>
              <w:rPr>
                <w:sz w:val="18"/>
                <w:szCs w:val="18"/>
              </w:rPr>
              <w:t>iming and frequency offset</w:t>
            </w:r>
          </w:p>
        </w:tc>
        <w:tc>
          <w:tcPr>
            <w:tcW w:w="4089" w:type="dxa"/>
          </w:tcPr>
          <w:p>
            <w:pPr>
              <w:tabs>
                <w:tab w:val="left" w:pos="720"/>
              </w:tabs>
              <w:rPr>
                <w:sz w:val="18"/>
                <w:szCs w:val="18"/>
                <w:lang w:eastAsia="ja-JP" w:bidi="hi-IN"/>
              </w:rPr>
            </w:pPr>
            <w:r>
              <w:rPr>
                <w:sz w:val="18"/>
                <w:szCs w:val="18"/>
                <w:lang w:eastAsia="ja-JP" w:bidi="hi-IN"/>
              </w:rPr>
              <w:t>The serving cell is 1.5 us for interfering cell 1 and -0.5 us for interfering cell 2</w:t>
            </w:r>
          </w:p>
          <w:p>
            <w:pPr>
              <w:tabs>
                <w:tab w:val="left" w:pos="720"/>
              </w:tabs>
              <w:rPr>
                <w:sz w:val="18"/>
                <w:szCs w:val="18"/>
              </w:rPr>
            </w:pPr>
            <w:r>
              <w:rPr>
                <w:sz w:val="18"/>
                <w:szCs w:val="18"/>
                <w:lang w:eastAsia="ja-JP" w:bidi="hi-IN"/>
              </w:rPr>
              <w:t>The serving cell is 300 Hz for interfering cell 1 and -100 Hz for interfering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3" w:type="dxa"/>
          </w:tcPr>
          <w:p>
            <w:pPr>
              <w:rPr>
                <w:sz w:val="18"/>
                <w:szCs w:val="18"/>
              </w:rPr>
            </w:pPr>
            <w:r>
              <w:rPr>
                <w:rFonts w:hint="eastAsia"/>
                <w:sz w:val="18"/>
                <w:szCs w:val="18"/>
              </w:rPr>
              <w:t>I</w:t>
            </w:r>
            <w:r>
              <w:rPr>
                <w:sz w:val="18"/>
                <w:szCs w:val="18"/>
              </w:rPr>
              <w:t>nterference cell modeling</w:t>
            </w:r>
          </w:p>
        </w:tc>
        <w:tc>
          <w:tcPr>
            <w:tcW w:w="4089" w:type="dxa"/>
          </w:tcPr>
          <w:p>
            <w:pPr>
              <w:overflowPunct w:val="0"/>
              <w:autoSpaceDE w:val="0"/>
              <w:autoSpaceDN w:val="0"/>
              <w:adjustRightInd w:val="0"/>
              <w:spacing w:before="120" w:after="120"/>
              <w:textAlignment w:val="baseline"/>
              <w:rPr>
                <w:sz w:val="18"/>
                <w:szCs w:val="18"/>
                <w:lang w:eastAsia="ja-JP" w:bidi="hi-IN"/>
              </w:rPr>
            </w:pPr>
            <w:r>
              <w:rPr>
                <w:sz w:val="18"/>
                <w:szCs w:val="18"/>
                <w:lang w:eastAsia="ja-JP" w:bidi="hi-IN"/>
              </w:rPr>
              <w:t>Interfering cell has same channel model as for serving cell and it is independently generated for each cell.</w:t>
            </w:r>
          </w:p>
          <w:p>
            <w:pPr>
              <w:overflowPunct w:val="0"/>
              <w:autoSpaceDE w:val="0"/>
              <w:autoSpaceDN w:val="0"/>
              <w:adjustRightInd w:val="0"/>
              <w:spacing w:before="120" w:after="120"/>
              <w:textAlignment w:val="baseline"/>
              <w:rPr>
                <w:rFonts w:eastAsia="MS Mincho"/>
                <w:sz w:val="18"/>
                <w:szCs w:val="18"/>
                <w:lang w:eastAsia="ja-JP" w:bidi="hi-IN"/>
              </w:rPr>
            </w:pPr>
            <w:r>
              <w:rPr>
                <w:sz w:val="18"/>
                <w:szCs w:val="18"/>
                <w:lang w:eastAsia="ja-JP" w:bidi="hi-IN"/>
              </w:rPr>
              <w:t>Interfering cell has full PDSCH allocation on all slots where serving cell has PDSCH grant.</w:t>
            </w:r>
          </w:p>
        </w:tc>
      </w:tr>
    </w:tbl>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3</w:t>
      </w:r>
      <w:r>
        <w:rPr>
          <w:rFonts w:hint="eastAsia" w:eastAsia="等线"/>
          <w:b/>
          <w:bCs/>
          <w:i/>
          <w:iCs/>
          <w:sz w:val="20"/>
          <w:szCs w:val="20"/>
        </w:rPr>
        <w:t>: For interference cell related configuration, including PCI configuration, Interference PDSCH allocation and precoding, Timing shift to the target cell, propagation condition, reuse the configuration from R17 2/4Rx inter-cell interference suppressing requirement as the baseline.</w:t>
      </w:r>
    </w:p>
    <w:p>
      <w:pPr>
        <w:overflowPunct w:val="0"/>
        <w:autoSpaceDE w:val="0"/>
        <w:autoSpaceDN w:val="0"/>
        <w:adjustRightInd w:val="0"/>
        <w:spacing w:after="180"/>
        <w:textAlignment w:val="baseline"/>
        <w:rPr>
          <w:rFonts w:eastAsia="Times New Roman"/>
          <w:b/>
          <w:sz w:val="20"/>
          <w:szCs w:val="20"/>
          <w:u w:val="single"/>
          <w:lang w:val="en-GB" w:eastAsia="en-GB"/>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CQI reporting requirements with MMSE-IRC receiver for inter-cell interference scenario</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Propagation condition</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5"/>
        </w:numPr>
        <w:spacing w:after="120"/>
        <w:ind w:firstLineChars="0"/>
        <w:rPr>
          <w:rFonts w:hint="default"/>
          <w:i/>
          <w:iCs/>
          <w:sz w:val="20"/>
          <w:szCs w:val="20"/>
          <w:lang w:val="en-US" w:eastAsia="zh-CN"/>
        </w:rPr>
      </w:pPr>
      <w:r>
        <w:rPr>
          <w:rFonts w:hint="default"/>
          <w:i/>
          <w:iCs/>
          <w:sz w:val="20"/>
          <w:szCs w:val="20"/>
          <w:lang w:val="en-US" w:eastAsia="zh-CN"/>
        </w:rPr>
        <w:t xml:space="preserve">Option 1: Reuse the same configuration for Rel-17 2/4Rx: </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eastAsia"/>
          <w:i/>
          <w:iCs/>
          <w:sz w:val="20"/>
          <w:szCs w:val="20"/>
          <w:lang w:val="en-US" w:eastAsia="zh-CN"/>
        </w:rPr>
        <w:tab/>
      </w:r>
      <w:r>
        <w:rPr>
          <w:rFonts w:hint="default"/>
          <w:i/>
          <w:iCs/>
          <w:sz w:val="20"/>
          <w:szCs w:val="20"/>
          <w:lang w:val="en-US" w:eastAsia="zh-CN"/>
        </w:rPr>
        <w:t>TDLA30-5 for the serving cell</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eastAsia"/>
          <w:i/>
          <w:iCs/>
          <w:sz w:val="20"/>
          <w:szCs w:val="20"/>
          <w:lang w:val="en-US" w:eastAsia="zh-CN"/>
        </w:rPr>
        <w:tab/>
      </w:r>
      <w:r>
        <w:rPr>
          <w:rFonts w:hint="default"/>
          <w:i/>
          <w:iCs/>
          <w:sz w:val="20"/>
          <w:szCs w:val="20"/>
          <w:lang w:val="en-US" w:eastAsia="zh-CN"/>
        </w:rPr>
        <w:t>AWGN for the interference cell.</w:t>
      </w:r>
    </w:p>
    <w:p>
      <w:pPr>
        <w:pStyle w:val="74"/>
        <w:numPr>
          <w:ilvl w:val="0"/>
          <w:numId w:val="5"/>
        </w:numPr>
        <w:spacing w:after="120"/>
        <w:ind w:firstLineChars="0"/>
        <w:rPr>
          <w:rFonts w:hint="default"/>
          <w:i/>
          <w:iCs/>
          <w:sz w:val="20"/>
          <w:szCs w:val="20"/>
          <w:lang w:val="en-US" w:eastAsia="zh-CN"/>
        </w:rPr>
      </w:pPr>
      <w:r>
        <w:rPr>
          <w:rFonts w:hint="default"/>
          <w:i/>
          <w:iCs/>
          <w:sz w:val="20"/>
          <w:szCs w:val="20"/>
          <w:lang w:val="en-US" w:eastAsia="zh-CN"/>
        </w:rPr>
        <w:t>Option 2: Further study whether to also include fading channel conditions.</w:t>
      </w:r>
    </w:p>
    <w:p>
      <w:pPr>
        <w:pStyle w:val="74"/>
        <w:numPr>
          <w:ilvl w:val="0"/>
          <w:numId w:val="5"/>
        </w:numPr>
        <w:spacing w:after="120"/>
        <w:ind w:firstLineChars="0"/>
        <w:rPr>
          <w:rFonts w:hint="default"/>
          <w:i/>
          <w:iCs/>
          <w:sz w:val="20"/>
          <w:szCs w:val="20"/>
          <w:lang w:val="en-US" w:eastAsia="zh-CN"/>
        </w:rPr>
      </w:pPr>
      <w:r>
        <w:rPr>
          <w:rFonts w:hint="default"/>
          <w:i/>
          <w:iCs/>
          <w:sz w:val="20"/>
          <w:szCs w:val="20"/>
          <w:lang w:val="en-US" w:eastAsia="zh-CN"/>
        </w:rPr>
        <w:t>Option 3: CQI requirements under fading channel (If time allows)</w:t>
      </w:r>
    </w:p>
    <w:p>
      <w:pPr>
        <w:pStyle w:val="74"/>
        <w:numPr>
          <w:ilvl w:val="0"/>
          <w:numId w:val="5"/>
        </w:numPr>
        <w:spacing w:after="120"/>
        <w:ind w:firstLineChars="0"/>
        <w:rPr>
          <w:rFonts w:hint="default"/>
          <w:i/>
          <w:iCs/>
          <w:sz w:val="20"/>
          <w:szCs w:val="20"/>
          <w:lang w:val="en-US" w:eastAsia="zh-CN"/>
        </w:rPr>
      </w:pPr>
      <w:r>
        <w:rPr>
          <w:rFonts w:hint="default"/>
          <w:i/>
          <w:iCs/>
          <w:sz w:val="20"/>
          <w:szCs w:val="20"/>
          <w:lang w:val="en-US" w:eastAsia="zh-CN"/>
        </w:rPr>
        <w:t>Option 4:</w:t>
      </w:r>
      <w:r>
        <w:rPr>
          <w:rFonts w:hint="eastAsia"/>
          <w:i/>
          <w:iCs/>
          <w:sz w:val="20"/>
          <w:szCs w:val="20"/>
          <w:lang w:val="en-US" w:eastAsia="zh-CN"/>
        </w:rPr>
        <w:t xml:space="preserve"> </w:t>
      </w:r>
      <w:r>
        <w:rPr>
          <w:rFonts w:hint="default"/>
          <w:i/>
          <w:iCs/>
          <w:sz w:val="20"/>
          <w:szCs w:val="20"/>
          <w:lang w:val="en-US" w:eastAsia="zh-CN"/>
        </w:rPr>
        <w:t>Consider the assumption assumed for Rel-17 CQI reporting fading tests with inter-cell interference as baseline</w:t>
      </w:r>
    </w:p>
    <w:p>
      <w:pPr>
        <w:pStyle w:val="74"/>
        <w:numPr>
          <w:ilvl w:val="0"/>
          <w:numId w:val="5"/>
        </w:numPr>
        <w:spacing w:after="120"/>
        <w:ind w:firstLineChars="0"/>
        <w:rPr>
          <w:rFonts w:hint="default"/>
          <w:i/>
          <w:iCs/>
          <w:sz w:val="20"/>
          <w:szCs w:val="20"/>
          <w:lang w:val="en-US" w:eastAsia="zh-CN"/>
        </w:rPr>
      </w:pPr>
      <w:r>
        <w:rPr>
          <w:rFonts w:hint="default"/>
          <w:i/>
          <w:iCs/>
          <w:sz w:val="20"/>
          <w:szCs w:val="20"/>
          <w:lang w:val="en-US" w:eastAsia="zh-CN"/>
        </w:rPr>
        <w:t>Other options not precluded</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Test metric</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ascii="Times New Roman" w:hAnsi="Times New Roman" w:eastAsia="宋体" w:cs="Times New Roman"/>
          <w:i/>
          <w:iCs/>
          <w:sz w:val="20"/>
          <w:szCs w:val="20"/>
          <w:lang w:val="en-US" w:eastAsia="zh-CN"/>
        </w:rPr>
      </w:pPr>
      <w:r>
        <w:rPr>
          <w:rFonts w:hint="default"/>
          <w:i/>
          <w:iCs/>
          <w:sz w:val="20"/>
          <w:szCs w:val="20"/>
          <w:lang w:val="en-US" w:eastAsia="zh-CN"/>
        </w:rPr>
        <w:t xml:space="preserve">Option 1: </w:t>
      </w:r>
      <w:r>
        <w:rPr>
          <w:rFonts w:hint="default" w:ascii="Times New Roman" w:hAnsi="Times New Roman" w:eastAsia="宋体" w:cs="Times New Roman"/>
          <w:i/>
          <w:iCs/>
          <w:sz w:val="20"/>
          <w:szCs w:val="20"/>
          <w:lang w:val="en-US" w:eastAsia="zh-CN"/>
        </w:rPr>
        <w:t xml:space="preserve">Reuse the same test metric for Rel-17 2/4Rx: </w:t>
      </w:r>
    </w:p>
    <w:tbl>
      <w:tblPr>
        <w:tblStyle w:val="20"/>
        <w:tblW w:w="0" w:type="auto"/>
        <w:tblInd w:w="7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6" w:type="dxa"/>
          </w:tcPr>
          <w:p>
            <w:pPr>
              <w:pStyle w:val="50"/>
              <w:overflowPunct w:val="0"/>
              <w:autoSpaceDE w:val="0"/>
              <w:autoSpaceDN w:val="0"/>
              <w:adjustRightInd w:val="0"/>
              <w:ind w:left="312" w:hanging="312"/>
              <w:textAlignment w:val="baseline"/>
              <w:rPr>
                <w:rFonts w:hint="default" w:ascii="Times New Roman" w:hAnsi="Times New Roman" w:cs="Times New Roman" w:eastAsiaTheme="minorEastAsia"/>
                <w:i/>
                <w:sz w:val="20"/>
                <w:szCs w:val="20"/>
                <w:lang w:eastAsia="zh-TW"/>
              </w:rPr>
            </w:pPr>
            <w:r>
              <w:rPr>
                <w:rFonts w:hint="default" w:ascii="Times New Roman" w:hAnsi="Times New Roman" w:eastAsia="Yu Mincho" w:cs="Times New Roman"/>
                <w:i/>
                <w:sz w:val="20"/>
                <w:szCs w:val="20"/>
              </w:rPr>
              <w:t>a)</w:t>
            </w:r>
            <w:r>
              <w:rPr>
                <w:rFonts w:hint="default" w:ascii="Times New Roman" w:hAnsi="Times New Roman" w:eastAsia="Yu Mincho" w:cs="Times New Roman"/>
                <w:i/>
                <w:sz w:val="20"/>
                <w:szCs w:val="20"/>
              </w:rPr>
              <w:tab/>
            </w:r>
            <w:r>
              <w:rPr>
                <w:rFonts w:hint="default" w:ascii="Times New Roman" w:hAnsi="Times New Roman" w:eastAsia="Yu Mincho" w:cs="Times New Roman"/>
                <w:i/>
                <w:sz w:val="20"/>
                <w:szCs w:val="20"/>
              </w:rPr>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hint="default" w:ascii="Times New Roman" w:hAnsi="Times New Roman" w:eastAsia="Yu Mincho" w:cs="Times New Roman"/>
                <w:i/>
                <w:iCs/>
                <w:sz w:val="20"/>
                <w:szCs w:val="20"/>
              </w:rPr>
              <w:t></w:t>
            </w:r>
            <w:r>
              <w:rPr>
                <w:rFonts w:hint="default" w:ascii="Times New Roman" w:hAnsi="Times New Roman" w:eastAsia="Yu Mincho" w:cs="Times New Roman"/>
                <w:i/>
                <w:sz w:val="20"/>
                <w:szCs w:val="20"/>
              </w:rPr>
              <w:t></w:t>
            </w:r>
            <w:r>
              <w:rPr>
                <w:rFonts w:hint="default" w:ascii="Times New Roman" w:hAnsi="Times New Roman" w:cs="Times New Roman" w:eastAsiaTheme="minorEastAsia"/>
                <w:i/>
                <w:sz w:val="20"/>
                <w:szCs w:val="20"/>
                <w:lang w:eastAsia="zh-TW"/>
              </w:rPr>
              <w:t></w:t>
            </w:r>
          </w:p>
          <w:p>
            <w:pPr>
              <w:pStyle w:val="50"/>
              <w:overflowPunct w:val="0"/>
              <w:autoSpaceDE w:val="0"/>
              <w:autoSpaceDN w:val="0"/>
              <w:adjustRightInd w:val="0"/>
              <w:ind w:left="312" w:hanging="312"/>
              <w:textAlignment w:val="baseline"/>
              <w:rPr>
                <w:rFonts w:hint="default" w:ascii="Times New Roman" w:hAnsi="Times New Roman" w:eastAsia="Yu Mincho" w:cs="Times New Roman"/>
                <w:i/>
                <w:sz w:val="20"/>
                <w:szCs w:val="20"/>
                <w:lang w:eastAsia="zh-CN"/>
              </w:rPr>
            </w:pPr>
            <w:r>
              <w:rPr>
                <w:rFonts w:hint="default" w:ascii="Times New Roman" w:hAnsi="Times New Roman" w:eastAsia="Yu Mincho" w:cs="Times New Roman"/>
                <w:i/>
                <w:sz w:val="20"/>
                <w:szCs w:val="20"/>
              </w:rPr>
              <w:t>b)</w:t>
            </w:r>
            <w:r>
              <w:rPr>
                <w:rFonts w:hint="default" w:ascii="Times New Roman" w:hAnsi="Times New Roman" w:eastAsia="Yu Mincho" w:cs="Times New Roman"/>
                <w:i/>
                <w:sz w:val="20"/>
                <w:szCs w:val="20"/>
              </w:rPr>
              <w:tab/>
            </w:r>
            <w:r>
              <w:rPr>
                <w:rFonts w:hint="default" w:ascii="Times New Roman" w:hAnsi="Times New Roman" w:eastAsia="Yu Mincho" w:cs="Times New Roman"/>
                <w:i/>
                <w:sz w:val="20"/>
                <w:szCs w:val="20"/>
              </w:rPr>
              <w:t xml:space="preserve">when transmitting the transport format indicated by each reported wideband CQI index subject to an interference source with specified INR, the average BLER for the indicated transport formats shall be greater than or equal to </w:t>
            </w:r>
            <w:r>
              <w:rPr>
                <w:rFonts w:hint="default" w:ascii="Times New Roman" w:hAnsi="Times New Roman" w:cs="Times New Roman" w:eastAsiaTheme="minorEastAsia"/>
                <w:i/>
                <w:sz w:val="20"/>
                <w:szCs w:val="20"/>
                <w:lang w:eastAsia="zh-TW"/>
              </w:rPr>
              <w:t>X%</w:t>
            </w:r>
            <w:r>
              <w:rPr>
                <w:rFonts w:hint="default" w:ascii="Times New Roman" w:hAnsi="Times New Roman" w:eastAsia="Yu Mincho" w:cs="Times New Roman"/>
                <w:i/>
                <w:sz w:val="20"/>
                <w:szCs w:val="20"/>
              </w:rPr>
              <w:t>.</w:t>
            </w:r>
          </w:p>
        </w:tc>
      </w:tr>
    </w:tbl>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 precluded</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Tested SINR value, throughput ratio γ and BLER X%</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1: The tested SINR value shall be decided based on simulation results with reasonable performance gain.</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Rel-17 2/4Rx used fading channel to verify UE performance of tracking the channel variations and selecting the largest transport format possible with interference. We can follow the same logic, reuse the propagation condition and test metric. As for the test SINR, throughput ratio, and BLER, they shall be decided based on simulation results with reasonable performance gain.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For propagation condition and test metric, r</w:t>
      </w:r>
      <w:r>
        <w:rPr>
          <w:rFonts w:hint="eastAsia" w:eastAsia="等线"/>
          <w:b/>
          <w:bCs/>
          <w:i/>
          <w:iCs/>
          <w:sz w:val="20"/>
          <w:szCs w:val="20"/>
          <w:lang w:val="en-GB" w:eastAsia="zh-CN"/>
        </w:rPr>
        <w:t>euse the same configuration for Rel-17 2/4Rx</w:t>
      </w:r>
      <w:r>
        <w:rPr>
          <w:rFonts w:hint="eastAsia" w:eastAsia="等线"/>
          <w:b/>
          <w:bCs/>
          <w:i/>
          <w:iCs/>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5: The tested SINR value shall be decided based on simulation results with reasonable performance gain.</w:t>
      </w:r>
    </w:p>
    <w:p>
      <w:pPr>
        <w:rPr>
          <w:rFonts w:hint="default" w:ascii="Times New Roman" w:hAnsi="Times New Roman" w:cs="Times New Roman"/>
          <w:b/>
          <w:sz w:val="20"/>
          <w:szCs w:val="20"/>
          <w:u w:val="single"/>
          <w:lang w:val="en-US"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CQI calculation algorithm</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ko-KR"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 xml:space="preserve">Option 1: Define CQI reporting requirements as below: </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Baseline SU-MIMO 8Rx receiver with Baseline CQI calculation</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Simplified SU-MIMO 8Rx receiver with Simplified CQI calculation.</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2: RAN4 to define CQI requirements for two receiver types:</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Baseline receiver: UE performs demodulation and CSI calculation with 8Rx joint processing.</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Simplified receiver: UE performs demodulation and CSI calculation with two separate 4Rx processing.</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3:</w:t>
      </w:r>
      <w:r>
        <w:rPr>
          <w:rFonts w:hint="eastAsia"/>
          <w:i/>
          <w:iCs/>
          <w:sz w:val="20"/>
          <w:szCs w:val="20"/>
          <w:lang w:val="en-US" w:eastAsia="zh-CN"/>
        </w:rPr>
        <w:t xml:space="preserve"> </w:t>
      </w:r>
      <w:r>
        <w:rPr>
          <w:rFonts w:hint="default"/>
          <w:i/>
          <w:iCs/>
          <w:sz w:val="20"/>
          <w:szCs w:val="20"/>
          <w:lang w:val="en-US" w:eastAsia="zh-CN"/>
        </w:rPr>
        <w:t>Only define one CQI calculation assumption to match both receiver types.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4:</w:t>
      </w:r>
      <w:r>
        <w:rPr>
          <w:rFonts w:hint="eastAsia"/>
          <w:i/>
          <w:iCs/>
          <w:sz w:val="20"/>
          <w:szCs w:val="20"/>
          <w:lang w:val="en-US" w:eastAsia="zh-CN"/>
        </w:rPr>
        <w:t xml:space="preserve"> </w:t>
      </w:r>
      <w:r>
        <w:rPr>
          <w:rFonts w:hint="default"/>
          <w:i/>
          <w:iCs/>
          <w:sz w:val="20"/>
          <w:szCs w:val="20"/>
          <w:lang w:val="en-US" w:eastAsia="zh-CN"/>
        </w:rPr>
        <w:t>Introduce one CQI calculation assumption independent of receiver type. Reconsider if later proven that two CQI calculation assumptions matching the two receiver types are needed.</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5:</w:t>
      </w:r>
      <w:r>
        <w:rPr>
          <w:rFonts w:hint="eastAsia"/>
          <w:i/>
          <w:iCs/>
          <w:sz w:val="20"/>
          <w:szCs w:val="20"/>
          <w:lang w:val="en-US" w:eastAsia="zh-CN"/>
        </w:rPr>
        <w:t xml:space="preserve"> </w:t>
      </w:r>
      <w:r>
        <w:rPr>
          <w:rFonts w:hint="default"/>
          <w:i/>
          <w:iCs/>
          <w:sz w:val="20"/>
          <w:szCs w:val="20"/>
          <w:lang w:val="en-US" w:eastAsia="zh-CN"/>
        </w:rPr>
        <w:t>RAN4 to evaluate the throughput ratio for both receiver assumptions based on the agreed parameters/settings. If the throughput ratio is close, then we can go for one requirement. Otherwise, RAN4 can define two sets of requirements for different type of receiver.</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Similar as demodulation requirements, we think for initial simulation analysis, both Baseline 8Rx UE MMSE-IRC receiver and simplified 8Rx UE MMSE-IRC Receiver should be covered. Under same SINR, if the throughput ratio BLER is close, then we are ok to define one set of requirements to cover both receiver types, otherwise, two sets of requirements should be defined.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6: For initial simulation analysis, both Baseline 8Rx UE MMSE-IRC receiver and simplified 8Rx UE MMSE-IRC Receiver should be covered.</w:t>
      </w:r>
    </w:p>
    <w:p>
      <w:pPr>
        <w:tabs>
          <w:tab w:val="left" w:pos="1134"/>
        </w:tabs>
        <w:spacing w:before="60"/>
        <w:jc w:val="both"/>
        <w:rPr>
          <w:rFonts w:hint="default" w:eastAsia="等线"/>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Rank for the serving cell</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1: Rank 1</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2: Rank 2</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3: Rank 4</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4:</w:t>
      </w:r>
      <w:r>
        <w:rPr>
          <w:rFonts w:hint="eastAsia"/>
          <w:i/>
          <w:iCs/>
          <w:sz w:val="20"/>
          <w:szCs w:val="20"/>
          <w:lang w:val="en-US" w:eastAsia="zh-CN"/>
        </w:rPr>
        <w:t xml:space="preserve"> </w:t>
      </w:r>
      <w:r>
        <w:rPr>
          <w:rFonts w:hint="default"/>
          <w:i/>
          <w:iCs/>
          <w:sz w:val="20"/>
          <w:szCs w:val="20"/>
          <w:lang w:val="en-US" w:eastAsia="zh-CN"/>
        </w:rPr>
        <w:t>Cover the following for initial study and possible down select based on simulation results:</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Rank 1, 2 &amp; 4</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RI Restriction</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Option 1: no RI restriction (lower than Rank 4) configured for simulation</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rPr>
          <w:rFonts w:hint="eastAsia" w:cs="Times New Roman"/>
          <w:sz w:val="20"/>
          <w:szCs w:val="20"/>
          <w:lang w:val="en-US" w:eastAsia="zh-CN"/>
        </w:rPr>
      </w:pPr>
      <w:r>
        <w:rPr>
          <w:rFonts w:hint="eastAsia" w:cs="Times New Roman"/>
          <w:sz w:val="20"/>
          <w:szCs w:val="20"/>
          <w:lang w:val="en-US" w:eastAsia="zh-CN"/>
        </w:rPr>
        <w:t>Our preference is to cover both Rank 1, 2 and 4 for initial simulation. However, considering simulation work, we are fine to take Rank 2 as the first priority.</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 xml:space="preserve">Proposal 7: For initial simulation analysis, take Rank 2 as the first priority. </w:t>
      </w:r>
    </w:p>
    <w:p>
      <w:pPr>
        <w:rPr>
          <w:rFonts w:hint="default" w:ascii="Times New Roman" w:hAnsi="Times New Roman" w:cs="Times New Roman"/>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CSI-IM and NZP CSI-RS configurations</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 xml:space="preserve">Option 1: Reuse agreement from R17 2/4Rx inter-cell interference suppressing requirement for simulation: </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CSI-IM on serving cell overlapping with PDSCH from interference cell</w:t>
      </w:r>
      <w:r>
        <w:rPr>
          <w:rFonts w:hint="default"/>
          <w:i/>
          <w:iCs/>
          <w:sz w:val="20"/>
          <w:szCs w:val="20"/>
          <w:lang w:val="en-US" w:eastAsia="zh-CN"/>
        </w:rPr>
        <w:br w:type="textWrapping"/>
      </w:r>
      <w:r>
        <w:rPr>
          <w:rFonts w:hint="default"/>
          <w:i/>
          <w:iCs/>
          <w:sz w:val="20"/>
          <w:szCs w:val="20"/>
          <w:lang w:val="en-US" w:eastAsia="zh-CN"/>
        </w:rPr>
        <w:t>-</w:t>
      </w:r>
      <w:r>
        <w:rPr>
          <w:rFonts w:hint="eastAsia"/>
          <w:i/>
          <w:iCs/>
          <w:sz w:val="20"/>
          <w:szCs w:val="20"/>
          <w:lang w:val="en-US" w:eastAsia="zh-CN"/>
        </w:rPr>
        <w:tab/>
      </w:r>
      <w:r>
        <w:rPr>
          <w:rFonts w:hint="default"/>
          <w:i/>
          <w:iCs/>
          <w:sz w:val="20"/>
          <w:szCs w:val="20"/>
          <w:lang w:val="en-US" w:eastAsia="zh-CN"/>
        </w:rPr>
        <w:t>NZP CSI-RS on serving cell overlapping with NZP CSI-RS from interference cell</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 xml:space="preserve">The agreement from R17 2/4Rx inter-cell interference suppressing requirement can be reused for simulation, that: </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CSI-IM on serving cell overlapping with PDSCH from interference cell, and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rPr>
          <w:rFonts w:hint="default" w:ascii="Times New Roman" w:hAnsi="Times New Roman" w:cs="Times New Roman"/>
          <w:i/>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hint="default" w:eastAsia="等线"/>
          <w:b/>
          <w:i/>
          <w:iCs/>
          <w:sz w:val="20"/>
          <w:szCs w:val="20"/>
          <w:u w:val="single"/>
          <w:lang w:val="en-US" w:eastAsia="ko-KR"/>
        </w:rPr>
      </w:pPr>
      <w:r>
        <w:rPr>
          <w:rFonts w:hint="default" w:eastAsia="等线"/>
          <w:b/>
          <w:i/>
          <w:iCs/>
          <w:sz w:val="20"/>
          <w:szCs w:val="20"/>
          <w:u w:val="single"/>
          <w:lang w:val="en-US" w:eastAsia="ko-KR"/>
        </w:rPr>
        <w:t>Issue 1-4-11: Interference power level</w:t>
      </w:r>
    </w:p>
    <w:p>
      <w:pPr>
        <w:numPr>
          <w:ilvl w:val="0"/>
          <w:numId w:val="4"/>
        </w:numPr>
        <w:overflowPunct/>
        <w:autoSpaceDE/>
        <w:autoSpaceDN/>
        <w:adjustRightInd/>
        <w:snapToGrid w:val="0"/>
        <w:spacing w:before="60" w:after="60"/>
        <w:ind w:left="284" w:hanging="284" w:firstLineChars="0"/>
        <w:textAlignment w:val="auto"/>
        <w:rPr>
          <w:rFonts w:hint="default" w:ascii="Times New Roman" w:hAnsi="Times New Roman" w:eastAsia="宋体" w:cs="Times New Roman"/>
          <w:i/>
          <w:iCs/>
          <w:sz w:val="20"/>
          <w:szCs w:val="20"/>
          <w:lang w:val="en-US" w:eastAsia="zh-CN" w:bidi="ar-SA"/>
        </w:rPr>
      </w:pPr>
      <w:r>
        <w:rPr>
          <w:rFonts w:hint="default" w:ascii="Times New Roman" w:hAnsi="Times New Roman" w:eastAsia="宋体" w:cs="Times New Roman"/>
          <w:i/>
          <w:iCs/>
          <w:sz w:val="20"/>
          <w:szCs w:val="20"/>
          <w:lang w:val="en-US" w:eastAsia="zh-CN" w:bidi="ar-SA"/>
        </w:rPr>
        <w:t>Proposals</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 xml:space="preserve">Option 1: Reuse the same configuration for Rel-17 2/4Rx, i.e., INR = 10.04dB with rank 1 </w:t>
      </w:r>
    </w:p>
    <w:p>
      <w:pPr>
        <w:pStyle w:val="74"/>
        <w:numPr>
          <w:ilvl w:val="0"/>
          <w:numId w:val="6"/>
        </w:numPr>
        <w:overflowPunct/>
        <w:autoSpaceDE/>
        <w:autoSpaceDN/>
        <w:adjustRightInd/>
        <w:spacing w:after="120"/>
        <w:ind w:firstLineChars="0"/>
        <w:textAlignment w:val="auto"/>
        <w:rPr>
          <w:rFonts w:hint="default"/>
          <w:i/>
          <w:iCs/>
          <w:sz w:val="20"/>
          <w:szCs w:val="20"/>
          <w:lang w:val="en-US" w:eastAsia="zh-CN"/>
        </w:rPr>
      </w:pPr>
      <w:r>
        <w:rPr>
          <w:rFonts w:hint="default"/>
          <w:i/>
          <w:iCs/>
          <w:sz w:val="20"/>
          <w:szCs w:val="20"/>
          <w:lang w:val="en-US" w:eastAsia="zh-CN"/>
        </w:rPr>
        <w:t>Other options not precluded.</w:t>
      </w:r>
    </w:p>
    <w:p>
      <w:pPr>
        <w:tabs>
          <w:tab w:val="left" w:pos="1134"/>
        </w:tabs>
        <w:spacing w:before="60"/>
        <w:jc w:val="both"/>
        <w:rPr>
          <w:rFonts w:hint="default" w:eastAsia="等线"/>
          <w:sz w:val="20"/>
          <w:szCs w:val="20"/>
          <w:lang w:val="en-US" w:eastAsia="zh-CN"/>
        </w:rPr>
      </w:pPr>
      <w:r>
        <w:rPr>
          <w:rFonts w:hint="eastAsia" w:eastAsia="等线"/>
          <w:sz w:val="20"/>
          <w:szCs w:val="20"/>
          <w:lang w:val="en-US" w:eastAsia="zh-CN"/>
        </w:rPr>
        <w:t>INR 10.04dB can be reused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spacing w:before="156" w:beforeLines="50"/>
        <w:ind w:left="100" w:hanging="100" w:hangingChars="50"/>
        <w:rPr>
          <w:rFonts w:hint="eastAsia" w:eastAsia="宋体"/>
          <w:b/>
          <w:sz w:val="20"/>
          <w:szCs w:val="20"/>
          <w:u w:val="single"/>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ascii="Times New Roman" w:hAnsi="Times New Roman"/>
          <w:b w:val="0"/>
          <w:bCs w:val="0"/>
          <w:kern w:val="0"/>
          <w:sz w:val="32"/>
          <w:szCs w:val="32"/>
        </w:rPr>
      </w:pPr>
      <w:r>
        <w:rPr>
          <w:rFonts w:hint="eastAsia" w:ascii="Times New Roman" w:hAnsi="Times New Roman" w:eastAsia="宋体"/>
          <w:b w:val="0"/>
          <w:bCs w:val="0"/>
          <w:kern w:val="0"/>
          <w:sz w:val="32"/>
          <w:szCs w:val="32"/>
          <w:lang w:val="en-US" w:eastAsia="zh-CN"/>
        </w:rPr>
        <w:t>PDSCH demodulation requirements with MMSE-IRC receiver for intra-cell inter-user interference scenario</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US" w:eastAsia="ko-KR"/>
        </w:rPr>
      </w:pPr>
      <w:r>
        <w:rPr>
          <w:rFonts w:eastAsia="等线"/>
          <w:b/>
          <w:i/>
          <w:iCs/>
          <w:sz w:val="20"/>
          <w:szCs w:val="20"/>
          <w:u w:val="single"/>
          <w:lang w:val="en-US" w:eastAsia="ko-KR"/>
        </w:rPr>
        <w:t>Other parameters</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Proposals</w:t>
      </w:r>
    </w:p>
    <w:p>
      <w:pPr>
        <w:pStyle w:val="74"/>
        <w:numPr>
          <w:ilvl w:val="0"/>
          <w:numId w:val="5"/>
        </w:numPr>
        <w:spacing w:after="120"/>
        <w:ind w:firstLineChars="0"/>
        <w:rPr>
          <w:i/>
          <w:iCs/>
          <w:sz w:val="20"/>
          <w:szCs w:val="20"/>
          <w:lang w:val="en-US" w:eastAsia="zh-CN"/>
        </w:rPr>
      </w:pPr>
      <w:r>
        <w:rPr>
          <w:i/>
          <w:iCs/>
          <w:sz w:val="20"/>
          <w:szCs w:val="20"/>
          <w:lang w:val="en-US" w:eastAsia="zh-CN"/>
        </w:rPr>
        <w:t>Option 1: For not specifically agreed parameters in this WID, reuse the same configuration for Rel-17 2/4Rx for MMSE-IRC as a starting point for initial evaluation.</w:t>
      </w:r>
    </w:p>
    <w:p>
      <w:pPr>
        <w:pStyle w:val="74"/>
        <w:numPr>
          <w:ilvl w:val="0"/>
          <w:numId w:val="5"/>
        </w:numPr>
        <w:spacing w:after="120"/>
        <w:ind w:firstLineChars="0"/>
        <w:rPr>
          <w:i/>
          <w:iCs/>
          <w:sz w:val="20"/>
          <w:szCs w:val="20"/>
          <w:lang w:val="en-US" w:eastAsia="zh-CN"/>
        </w:rPr>
      </w:pPr>
      <w:r>
        <w:rPr>
          <w:i/>
          <w:iCs/>
          <w:sz w:val="20"/>
          <w:szCs w:val="20"/>
          <w:lang w:val="en-US" w:eastAsia="zh-CN"/>
        </w:rPr>
        <w:t>Other options not precluded</w:t>
      </w:r>
    </w:p>
    <w:p>
      <w:pPr>
        <w:tabs>
          <w:tab w:val="left" w:pos="1134"/>
        </w:tabs>
        <w:spacing w:before="60"/>
        <w:jc w:val="both"/>
        <w:rPr>
          <w:rFonts w:hint="default"/>
          <w:sz w:val="20"/>
          <w:szCs w:val="20"/>
          <w:lang w:val="en-US" w:eastAsia="zh-CN"/>
        </w:rPr>
      </w:pPr>
      <w:r>
        <w:rPr>
          <w:rFonts w:hint="eastAsia"/>
          <w:sz w:val="20"/>
          <w:szCs w:val="20"/>
          <w:lang w:val="en-US" w:eastAsia="zh-CN"/>
        </w:rPr>
        <w:t>The HARQ setup and part of DMRS configuration haven</w:t>
      </w:r>
      <w:r>
        <w:rPr>
          <w:rFonts w:hint="default"/>
          <w:sz w:val="20"/>
          <w:szCs w:val="20"/>
          <w:lang w:val="en-US" w:eastAsia="zh-CN"/>
        </w:rPr>
        <w:t>’</w:t>
      </w:r>
      <w:r>
        <w:rPr>
          <w:rFonts w:hint="eastAsia"/>
          <w:sz w:val="20"/>
          <w:szCs w:val="20"/>
          <w:lang w:val="en-US" w:eastAsia="zh-CN"/>
        </w:rPr>
        <w:t>t specifically agreed, we think the same configuration for Rel-17 2/4Rx for MMSE-IRC can be reused as a starting point.</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10: For the HARQ setup and part of DMRS configurations which haven’t specifically agreed, the same configuration for Rel-17 2/4Rx for MMSE-IRC can be reused.</w:t>
      </w:r>
    </w:p>
    <w:p>
      <w:pPr>
        <w:tabs>
          <w:tab w:val="left" w:pos="1134"/>
        </w:tabs>
        <w:spacing w:before="60"/>
        <w:jc w:val="both"/>
        <w:rPr>
          <w:rFonts w:hint="eastAsia"/>
          <w:sz w:val="20"/>
          <w:szCs w:val="20"/>
          <w:lang w:val="en-US" w:eastAsia="zh-CN"/>
        </w:rPr>
      </w:pPr>
    </w:p>
    <w:p>
      <w:pPr>
        <w:pStyle w:val="3"/>
        <w:numPr>
          <w:ilvl w:val="1"/>
          <w:numId w:val="3"/>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eastAsia="宋体"/>
          <w:b w:val="0"/>
          <w:bCs w:val="0"/>
          <w:kern w:val="0"/>
          <w:sz w:val="32"/>
          <w:szCs w:val="32"/>
          <w:lang w:val="en-US" w:eastAsia="zh-CN"/>
        </w:rPr>
      </w:pPr>
      <w:r>
        <w:rPr>
          <w:rFonts w:hint="eastAsia" w:ascii="Times New Roman" w:hAnsi="Times New Roman" w:eastAsia="宋体"/>
          <w:b w:val="0"/>
          <w:bCs w:val="0"/>
          <w:kern w:val="0"/>
          <w:sz w:val="32"/>
          <w:szCs w:val="32"/>
          <w:lang w:val="en-US" w:eastAsia="zh-CN"/>
        </w:rPr>
        <w:t>Applicability rule and release independent</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US" w:eastAsia="ko-KR"/>
        </w:rPr>
      </w:pPr>
      <w:r>
        <w:rPr>
          <w:rFonts w:eastAsia="等线"/>
          <w:b/>
          <w:i/>
          <w:iCs/>
          <w:sz w:val="20"/>
          <w:szCs w:val="20"/>
          <w:u w:val="single"/>
          <w:lang w:val="en-US" w:eastAsia="ko-KR"/>
        </w:rPr>
        <w:t>Test applicability</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Proposals</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1: The new requirements for 8Rx MMSE-IRC receiver shall be mandatory requirements for all 8Rx UEs without additional test applicability rule </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2: For UEs supporting both 8Rx and 2/4Rx, the 2/4Rx tests under inter cell interference and under intra cell inter user interference can be skipped if the corresponding 8Rx requirements are passed. </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3: Introduce applicability rule to skip 2/4Rx requirements if 8Rx tests are passed, if same test scenarios/configurations as 2RX/4RX are defined. </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4: </w:t>
      </w:r>
      <w:r>
        <w:rPr>
          <w:i/>
          <w:iCs/>
          <w:sz w:val="20"/>
          <w:szCs w:val="20"/>
          <w:lang w:val="en-US" w:eastAsia="zh-CN"/>
        </w:rPr>
        <w:br w:type="textWrapping"/>
      </w:r>
      <w:r>
        <w:rPr>
          <w:i/>
          <w:iCs/>
          <w:sz w:val="20"/>
          <w:szCs w:val="20"/>
          <w:lang w:val="en-US" w:eastAsia="zh-CN"/>
        </w:rPr>
        <w:t>-</w:t>
      </w:r>
      <w:r>
        <w:rPr>
          <w:rFonts w:hint="eastAsia"/>
          <w:i/>
          <w:iCs/>
          <w:sz w:val="20"/>
          <w:szCs w:val="20"/>
          <w:lang w:val="en-US" w:eastAsia="zh-CN"/>
        </w:rPr>
        <w:tab/>
      </w:r>
      <w:r>
        <w:rPr>
          <w:i/>
          <w:iCs/>
          <w:sz w:val="20"/>
          <w:szCs w:val="20"/>
          <w:lang w:val="en-US" w:eastAsia="zh-CN"/>
        </w:rPr>
        <w:t>The new requirements for 8Rx MMSE-IRC receiver to be mandatory requirements for all 8Rx UEs</w:t>
      </w:r>
      <w:r>
        <w:rPr>
          <w:i/>
          <w:iCs/>
          <w:sz w:val="20"/>
          <w:szCs w:val="20"/>
          <w:lang w:val="en-US" w:eastAsia="zh-CN"/>
        </w:rPr>
        <w:br w:type="textWrapping"/>
      </w:r>
      <w:r>
        <w:rPr>
          <w:i/>
          <w:iCs/>
          <w:sz w:val="20"/>
          <w:szCs w:val="20"/>
          <w:lang w:val="en-US" w:eastAsia="zh-CN"/>
        </w:rPr>
        <w:t>-</w:t>
      </w:r>
      <w:r>
        <w:rPr>
          <w:rFonts w:hint="eastAsia"/>
          <w:i/>
          <w:iCs/>
          <w:sz w:val="20"/>
          <w:szCs w:val="20"/>
          <w:lang w:val="en-US" w:eastAsia="zh-CN"/>
        </w:rPr>
        <w:tab/>
      </w:r>
      <w:r>
        <w:rPr>
          <w:i/>
          <w:iCs/>
          <w:sz w:val="20"/>
          <w:szCs w:val="20"/>
          <w:lang w:val="en-US" w:eastAsia="zh-CN"/>
        </w:rPr>
        <w:t>If agreed to define two set of requirements (baseline and simplified receiver), introduce new applicability rules based on Table 5.1.1.3-1 of TS38.101-4.</w:t>
      </w:r>
    </w:p>
    <w:p>
      <w:pPr>
        <w:pStyle w:val="74"/>
        <w:numPr>
          <w:ilvl w:val="0"/>
          <w:numId w:val="5"/>
        </w:numPr>
        <w:spacing w:after="120"/>
        <w:ind w:firstLineChars="0"/>
        <w:rPr>
          <w:i/>
          <w:iCs/>
          <w:sz w:val="20"/>
          <w:szCs w:val="20"/>
          <w:lang w:val="en-US" w:eastAsia="zh-CN"/>
        </w:rPr>
      </w:pPr>
      <w:r>
        <w:rPr>
          <w:i/>
          <w:iCs/>
          <w:sz w:val="20"/>
          <w:szCs w:val="20"/>
          <w:lang w:val="en-US" w:eastAsia="zh-CN"/>
        </w:rPr>
        <w:t>Option 5: Introduce applicability rule to skip 2/4Rx requirements if 8Rx tests are passed regardless the concrete test setup.</w:t>
      </w:r>
    </w:p>
    <w:p>
      <w:pPr>
        <w:pStyle w:val="74"/>
        <w:numPr>
          <w:ilvl w:val="0"/>
          <w:numId w:val="5"/>
        </w:numPr>
        <w:spacing w:after="120"/>
        <w:ind w:firstLineChars="0"/>
        <w:rPr>
          <w:i/>
          <w:iCs/>
          <w:sz w:val="20"/>
          <w:szCs w:val="20"/>
          <w:lang w:val="en-US" w:eastAsia="zh-CN"/>
        </w:rPr>
      </w:pPr>
      <w:r>
        <w:rPr>
          <w:i/>
          <w:iCs/>
          <w:sz w:val="20"/>
          <w:szCs w:val="20"/>
          <w:lang w:val="en-US" w:eastAsia="zh-CN"/>
        </w:rPr>
        <w:t>Other options not precluded.</w:t>
      </w:r>
    </w:p>
    <w:p>
      <w:pPr>
        <w:tabs>
          <w:tab w:val="left" w:pos="1134"/>
        </w:tabs>
        <w:spacing w:before="60"/>
        <w:jc w:val="both"/>
        <w:rPr>
          <w:rFonts w:hint="eastAsia"/>
          <w:sz w:val="20"/>
          <w:szCs w:val="20"/>
          <w:lang w:val="en-US" w:eastAsia="zh-CN"/>
        </w:rPr>
      </w:pPr>
      <w:r>
        <w:rPr>
          <w:rFonts w:hint="eastAsia"/>
          <w:sz w:val="20"/>
          <w:szCs w:val="20"/>
          <w:lang w:val="en-US" w:eastAsia="zh-CN"/>
        </w:rPr>
        <w:t>Both Option 1 and Option 2 follows the legacy applicability rule, which ensure UE pass the related test case with minimum test effort. We support both of them.</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11: The new requirements for 8Rx MMSE-IRC receiver should be mandatory applied for all 8Rx UEs.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12: For UEs supporting both 8Rx and 2/4Rx, the 2/4Rx tests under inter cell interference and under intra cell inter user interference can be skipped if the corresponding 8Rx requirements are passed.</w:t>
      </w:r>
    </w:p>
    <w:p>
      <w:pPr>
        <w:rPr>
          <w:rFonts w:hint="eastAsia" w:eastAsia="等线"/>
          <w:b/>
          <w:bCs/>
          <w:i/>
          <w:iCs/>
          <w:sz w:val="20"/>
          <w:szCs w:val="20"/>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等线"/>
          <w:b/>
          <w:i/>
          <w:iCs/>
          <w:sz w:val="20"/>
          <w:szCs w:val="20"/>
          <w:u w:val="single"/>
          <w:lang w:val="en-US" w:eastAsia="ko-KR"/>
        </w:rPr>
      </w:pPr>
      <w:r>
        <w:rPr>
          <w:rFonts w:eastAsia="等线"/>
          <w:b/>
          <w:i/>
          <w:iCs/>
          <w:sz w:val="20"/>
          <w:szCs w:val="20"/>
          <w:u w:val="single"/>
          <w:lang w:val="en-US" w:eastAsia="ko-KR"/>
        </w:rPr>
        <w:t>Release independency</w:t>
      </w:r>
    </w:p>
    <w:p>
      <w:pPr>
        <w:numPr>
          <w:ilvl w:val="0"/>
          <w:numId w:val="4"/>
        </w:numPr>
        <w:overflowPunct/>
        <w:autoSpaceDE/>
        <w:autoSpaceDN/>
        <w:adjustRightInd/>
        <w:snapToGrid w:val="0"/>
        <w:spacing w:before="60" w:after="60"/>
        <w:ind w:left="284" w:hanging="284" w:firstLineChars="0"/>
        <w:textAlignment w:val="auto"/>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Proposals</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1: The new requirements for 8Rx should be release independent from Rel-18 </w:t>
      </w:r>
    </w:p>
    <w:p>
      <w:pPr>
        <w:pStyle w:val="74"/>
        <w:numPr>
          <w:ilvl w:val="0"/>
          <w:numId w:val="5"/>
        </w:numPr>
        <w:spacing w:after="120"/>
        <w:ind w:firstLineChars="0"/>
        <w:rPr>
          <w:i/>
          <w:iCs/>
          <w:sz w:val="20"/>
          <w:szCs w:val="20"/>
          <w:lang w:val="en-US" w:eastAsia="zh-CN"/>
        </w:rPr>
      </w:pPr>
      <w:r>
        <w:rPr>
          <w:i/>
          <w:iCs/>
          <w:sz w:val="20"/>
          <w:szCs w:val="20"/>
          <w:lang w:val="en-US" w:eastAsia="zh-CN"/>
        </w:rPr>
        <w:t xml:space="preserve">Option 2: The requirement should be released independent from Rel-18 if no new signalling or UE capability introduced. </w:t>
      </w:r>
    </w:p>
    <w:p>
      <w:pPr>
        <w:pStyle w:val="74"/>
        <w:numPr>
          <w:ilvl w:val="0"/>
          <w:numId w:val="5"/>
        </w:numPr>
        <w:spacing w:after="120"/>
        <w:ind w:firstLineChars="0"/>
        <w:rPr>
          <w:i/>
          <w:iCs/>
          <w:sz w:val="20"/>
          <w:szCs w:val="20"/>
          <w:lang w:val="en-US" w:eastAsia="zh-CN"/>
        </w:rPr>
      </w:pPr>
      <w:r>
        <w:rPr>
          <w:i/>
          <w:iCs/>
          <w:sz w:val="20"/>
          <w:szCs w:val="20"/>
          <w:lang w:val="en-US" w:eastAsia="zh-CN"/>
        </w:rPr>
        <w:t>Option 3: Postpone the discussion on release independency until agreements are made on baseline assumptions, test parameters and test metrics.</w:t>
      </w:r>
    </w:p>
    <w:p>
      <w:pPr>
        <w:pStyle w:val="74"/>
        <w:numPr>
          <w:ilvl w:val="0"/>
          <w:numId w:val="5"/>
        </w:numPr>
        <w:spacing w:after="120"/>
        <w:ind w:firstLineChars="0"/>
        <w:rPr>
          <w:i/>
          <w:iCs/>
          <w:sz w:val="20"/>
          <w:szCs w:val="20"/>
          <w:lang w:val="en-US" w:eastAsia="zh-CN"/>
        </w:rPr>
      </w:pPr>
      <w:r>
        <w:rPr>
          <w:i/>
          <w:iCs/>
          <w:sz w:val="20"/>
          <w:szCs w:val="20"/>
          <w:lang w:val="en-US" w:eastAsia="zh-CN"/>
        </w:rPr>
        <w:t>Option 4: Discuss release independence requirements at a later stage in the WI.</w:t>
      </w:r>
    </w:p>
    <w:p>
      <w:pPr>
        <w:pStyle w:val="74"/>
        <w:numPr>
          <w:ilvl w:val="0"/>
          <w:numId w:val="5"/>
        </w:numPr>
        <w:spacing w:after="120"/>
        <w:ind w:firstLineChars="0"/>
        <w:rPr>
          <w:i/>
          <w:iCs/>
          <w:sz w:val="20"/>
          <w:szCs w:val="20"/>
          <w:lang w:val="en-US" w:eastAsia="zh-CN"/>
        </w:rPr>
      </w:pPr>
      <w:r>
        <w:rPr>
          <w:i/>
          <w:iCs/>
          <w:sz w:val="20"/>
          <w:szCs w:val="20"/>
          <w:lang w:val="en-US" w:eastAsia="zh-CN"/>
        </w:rPr>
        <w:t>Other options not precluded.</w:t>
      </w:r>
    </w:p>
    <w:p>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If no new signalling or UE capability introduced, the requirement should be released independent from Rel-18.</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tabs>
          <w:tab w:val="left" w:pos="1134"/>
          <w:tab w:val="left" w:pos="6000"/>
        </w:tabs>
        <w:spacing w:before="156" w:beforeLines="50"/>
        <w:jc w:val="both"/>
        <w:rPr>
          <w:rFonts w:hint="default" w:eastAsia="等线"/>
          <w:b/>
          <w:bCs/>
          <w:i/>
          <w:iCs/>
          <w:sz w:val="20"/>
          <w:szCs w:val="20"/>
          <w:lang w:val="en-US" w:eastAsia="zh-CN"/>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In this contribution, we </w:t>
      </w:r>
      <w:r>
        <w:rPr>
          <w:rFonts w:hint="eastAsia" w:eastAsia="宋体"/>
          <w:sz w:val="20"/>
          <w:szCs w:val="20"/>
          <w:lang w:val="en-US" w:eastAsia="zh-CN"/>
        </w:rPr>
        <w:t>provides some basic simulation assumptions for UE 8Rx interference suppressing requirement</w:t>
      </w:r>
      <w:r>
        <w:rPr>
          <w:sz w:val="20"/>
          <w:szCs w:val="20"/>
        </w:rPr>
        <w:t>. The proposals are:</w:t>
      </w:r>
      <w:bookmarkEnd w:id="4"/>
      <w:bookmarkEnd w:id="5"/>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Introduce the applicability rule that if UE supporting both duplex mode TDD and FDD with 8Rx, then only HomNet FDD test and HetNet TDD test will be applied.</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rPr>
        <w:t>For the PDSCH configuration, DMRS configuration (lower than Rank 4), TRS configuration, HARQ setup, Test metric, and Tx EVM</w:t>
      </w:r>
      <w:r>
        <w:rPr>
          <w:rFonts w:hint="eastAsia" w:eastAsia="等线"/>
          <w:b/>
          <w:bCs/>
          <w:i/>
          <w:iCs/>
          <w:sz w:val="20"/>
          <w:szCs w:val="20"/>
          <w:lang w:val="en-US" w:eastAsia="zh-CN"/>
        </w:rPr>
        <w:t>, reuse the configuration from Rel-17 2/4Rx WI and Rel-18 8Rx WI, which are same.</w:t>
      </w:r>
    </w:p>
    <w:p>
      <w:pPr>
        <w:tabs>
          <w:tab w:val="left" w:pos="1134"/>
        </w:tabs>
        <w:spacing w:before="156" w:beforeLines="50"/>
        <w:jc w:val="both"/>
        <w:rPr>
          <w:rFonts w:hint="eastAsia" w:eastAsia="等线"/>
          <w:b/>
          <w:bCs/>
          <w:i/>
          <w:iCs/>
          <w:sz w:val="20"/>
          <w:szCs w:val="20"/>
        </w:rPr>
      </w:pPr>
      <w:r>
        <w:rPr>
          <w:rFonts w:hint="eastAsia" w:eastAsia="等线"/>
          <w:b/>
          <w:bCs/>
          <w:i/>
          <w:iCs/>
          <w:sz w:val="20"/>
          <w:szCs w:val="20"/>
        </w:rPr>
        <w:t xml:space="preserve">Proposal </w:t>
      </w:r>
      <w:r>
        <w:rPr>
          <w:rFonts w:hint="eastAsia" w:eastAsia="等线"/>
          <w:b/>
          <w:bCs/>
          <w:i/>
          <w:iCs/>
          <w:sz w:val="20"/>
          <w:szCs w:val="20"/>
          <w:lang w:val="en-US" w:eastAsia="zh-CN"/>
        </w:rPr>
        <w:t>3</w:t>
      </w:r>
      <w:r>
        <w:rPr>
          <w:rFonts w:hint="eastAsia" w:eastAsia="等线"/>
          <w:b/>
          <w:bCs/>
          <w:i/>
          <w:iCs/>
          <w:sz w:val="20"/>
          <w:szCs w:val="20"/>
        </w:rPr>
        <w:t>: For interference cell related configuration, including PCI configuration, Interference PDSCH allocation and precoding, Timing shift to the target cell, propagation condition, reuse the configuration from R17 2/4Rx inter-cell interference suppressing requirement as the baseline.</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4</w:t>
      </w:r>
      <w:r>
        <w:rPr>
          <w:rFonts w:hint="eastAsia" w:eastAsia="等线"/>
          <w:b/>
          <w:bCs/>
          <w:i/>
          <w:iCs/>
          <w:sz w:val="20"/>
          <w:szCs w:val="20"/>
        </w:rPr>
        <w:t xml:space="preserve">: </w:t>
      </w:r>
      <w:r>
        <w:rPr>
          <w:rFonts w:hint="eastAsia" w:eastAsia="等线"/>
          <w:b/>
          <w:bCs/>
          <w:i/>
          <w:iCs/>
          <w:sz w:val="20"/>
          <w:szCs w:val="20"/>
          <w:lang w:val="en-US" w:eastAsia="zh-CN"/>
        </w:rPr>
        <w:t>For propagation condition and test metric, r</w:t>
      </w:r>
      <w:r>
        <w:rPr>
          <w:rFonts w:hint="eastAsia" w:eastAsia="等线"/>
          <w:b/>
          <w:bCs/>
          <w:i/>
          <w:iCs/>
          <w:sz w:val="20"/>
          <w:szCs w:val="20"/>
          <w:lang w:val="en-GB" w:eastAsia="zh-CN"/>
        </w:rPr>
        <w:t>euse the same configuration for Rel-17 2/4Rx</w:t>
      </w:r>
      <w:r>
        <w:rPr>
          <w:rFonts w:hint="eastAsia" w:eastAsia="等线"/>
          <w:b/>
          <w:bCs/>
          <w:i/>
          <w:iCs/>
          <w:sz w:val="20"/>
          <w:szCs w:val="20"/>
          <w:lang w:val="en-US" w:eastAsia="zh-CN"/>
        </w:rPr>
        <w:t>.</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5: The tested SINR value shall be decided based on simulation results with reasonable performance gain.</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6: For initial simulation analysis, both Baseline 8Rx UE MMSE-IRC receiver and simplified 8Rx UE MMSE-IRC Receiver should be covered.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 xml:space="preserve">Proposal 7: For initial simulation analysis, take Rank 2 as the first priority. </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8</w:t>
      </w:r>
      <w:r>
        <w:rPr>
          <w:rFonts w:hint="eastAsia" w:eastAsia="等线"/>
          <w:b/>
          <w:bCs/>
          <w:i/>
          <w:iCs/>
          <w:sz w:val="20"/>
          <w:szCs w:val="20"/>
        </w:rPr>
        <w:t xml:space="preserve">: </w:t>
      </w:r>
      <w:r>
        <w:rPr>
          <w:rFonts w:hint="eastAsia" w:eastAsia="等线"/>
          <w:b/>
          <w:bCs/>
          <w:i/>
          <w:iCs/>
          <w:sz w:val="20"/>
          <w:szCs w:val="20"/>
          <w:lang w:val="en-US" w:eastAsia="zh-CN"/>
        </w:rPr>
        <w:t>For CSI-IM and NZP CSI-RS assumption, reuse agreement from R17 2/4Rx inter-cell interference suppressing requirement for simulation, which are:</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CSI-IM on serving cell overlapping with PDSCH from interference cell</w:t>
      </w:r>
    </w:p>
    <w:p>
      <w:pPr>
        <w:numPr>
          <w:ilvl w:val="0"/>
          <w:numId w:val="7"/>
        </w:numPr>
        <w:tabs>
          <w:tab w:val="left" w:pos="1134"/>
        </w:tabs>
        <w:spacing w:before="156" w:beforeLines="50"/>
        <w:ind w:left="420" w:leftChars="0" w:hanging="420" w:firstLineChars="0"/>
        <w:jc w:val="both"/>
        <w:rPr>
          <w:rFonts w:hint="eastAsia" w:eastAsia="等线"/>
          <w:b/>
          <w:bCs/>
          <w:i/>
          <w:iCs/>
          <w:sz w:val="20"/>
          <w:szCs w:val="20"/>
          <w:lang w:val="en-US" w:eastAsia="zh-CN"/>
        </w:rPr>
      </w:pPr>
      <w:r>
        <w:rPr>
          <w:rFonts w:hint="eastAsia" w:eastAsia="等线"/>
          <w:b/>
          <w:bCs/>
          <w:i/>
          <w:iCs/>
          <w:sz w:val="20"/>
          <w:szCs w:val="20"/>
          <w:lang w:val="en-US" w:eastAsia="zh-CN"/>
        </w:rPr>
        <w:t>NZP CSI-RS on serving cell overlapping with NZP CSI-RS from interference cell</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9</w:t>
      </w:r>
      <w:r>
        <w:rPr>
          <w:rFonts w:hint="eastAsia" w:eastAsia="等线"/>
          <w:b/>
          <w:bCs/>
          <w:i/>
          <w:iCs/>
          <w:sz w:val="20"/>
          <w:szCs w:val="20"/>
        </w:rPr>
        <w:t xml:space="preserve">: </w:t>
      </w:r>
      <w:r>
        <w:rPr>
          <w:rFonts w:hint="eastAsia" w:eastAsia="等线"/>
          <w:b/>
          <w:bCs/>
          <w:i/>
          <w:iCs/>
          <w:sz w:val="20"/>
          <w:szCs w:val="20"/>
          <w:lang w:val="en-US" w:eastAsia="zh-CN"/>
        </w:rPr>
        <w:t>Reuse INR 10.04dB for initial simulation.</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10: For the HARQ setup and part of DMRS configurations which haven’t specifically agreed, the same configuration for Rel-17 2/4Rx for MMSE-IRC can be reused.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lang w:val="en-US" w:eastAsia="zh-CN"/>
        </w:rPr>
        <w:t>Proposal 11: The new requirements for 8Rx MMSE-IRC receiver should be mandatory applied for all 8Rx UEs.</w:t>
      </w:r>
    </w:p>
    <w:p>
      <w:pPr>
        <w:tabs>
          <w:tab w:val="left" w:pos="1134"/>
        </w:tabs>
        <w:spacing w:before="156" w:beforeLines="50"/>
        <w:jc w:val="both"/>
        <w:rPr>
          <w:rFonts w:hint="eastAsia" w:eastAsia="等线"/>
          <w:b/>
          <w:bCs/>
          <w:i/>
          <w:iCs/>
          <w:sz w:val="20"/>
          <w:szCs w:val="20"/>
          <w:lang w:val="en-US" w:eastAsia="zh-CN"/>
        </w:rPr>
      </w:pPr>
      <w:r>
        <w:rPr>
          <w:rFonts w:hint="eastAsia" w:eastAsia="等线"/>
          <w:b/>
          <w:bCs/>
          <w:i/>
          <w:iCs/>
          <w:sz w:val="20"/>
          <w:szCs w:val="20"/>
          <w:lang w:val="en-US" w:eastAsia="zh-CN"/>
        </w:rPr>
        <w:t>Proposal 12: For UEs supporting both 8Rx and 2/4Rx, the 2/4Rx tests under inter cell interference and under intra cell inter user interference can be skipped if the corresponding 8Rx requirements are passed.</w:t>
      </w:r>
    </w:p>
    <w:p>
      <w:pPr>
        <w:tabs>
          <w:tab w:val="left" w:pos="1134"/>
        </w:tabs>
        <w:spacing w:before="156" w:beforeLines="50"/>
        <w:jc w:val="both"/>
        <w:rPr>
          <w:rFonts w:hint="default" w:eastAsia="等线"/>
          <w:b/>
          <w:bCs/>
          <w:i/>
          <w:iCs/>
          <w:sz w:val="20"/>
          <w:szCs w:val="20"/>
          <w:lang w:val="en-US" w:eastAsia="zh-CN"/>
        </w:rPr>
      </w:pPr>
      <w:r>
        <w:rPr>
          <w:rFonts w:hint="eastAsia" w:eastAsia="等线"/>
          <w:b/>
          <w:bCs/>
          <w:i/>
          <w:iCs/>
          <w:sz w:val="20"/>
          <w:szCs w:val="20"/>
        </w:rPr>
        <w:t xml:space="preserve">Proposal </w:t>
      </w:r>
      <w:r>
        <w:rPr>
          <w:rFonts w:hint="eastAsia" w:eastAsia="等线"/>
          <w:b/>
          <w:bCs/>
          <w:i/>
          <w:iCs/>
          <w:sz w:val="20"/>
          <w:szCs w:val="20"/>
          <w:lang w:val="en-US" w:eastAsia="zh-CN"/>
        </w:rPr>
        <w:t>13</w:t>
      </w:r>
      <w:r>
        <w:rPr>
          <w:rFonts w:hint="eastAsia" w:eastAsia="等线"/>
          <w:b/>
          <w:bCs/>
          <w:i/>
          <w:iCs/>
          <w:sz w:val="20"/>
          <w:szCs w:val="20"/>
        </w:rPr>
        <w:t>: the requirement should be released independent from Rel-18</w:t>
      </w:r>
      <w:r>
        <w:rPr>
          <w:rFonts w:hint="eastAsia" w:eastAsia="等线"/>
          <w:b/>
          <w:bCs/>
          <w:i/>
          <w:iCs/>
          <w:sz w:val="20"/>
          <w:szCs w:val="20"/>
          <w:lang w:val="en-US" w:eastAsia="zh-CN"/>
        </w:rPr>
        <w:t xml:space="preserve"> if no new signalling or UE capability introduced.</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eastAsiaTheme="minorEastAsia"/>
          <w:sz w:val="20"/>
          <w:szCs w:val="20"/>
          <w:lang w:val="en-GB"/>
        </w:rPr>
      </w:pPr>
      <w:r>
        <w:rPr>
          <w:rFonts w:hint="eastAsia" w:eastAsiaTheme="minorEastAsia"/>
          <w:sz w:val="20"/>
          <w:szCs w:val="20"/>
          <w:lang w:val="en-GB"/>
        </w:rPr>
        <w:t>[</w:t>
      </w:r>
      <w:r>
        <w:rPr>
          <w:rFonts w:eastAsiaTheme="minorEastAsia"/>
          <w:sz w:val="20"/>
          <w:szCs w:val="20"/>
          <w:lang w:val="en-GB"/>
        </w:rPr>
        <w:t>1] R</w:t>
      </w:r>
      <w:r>
        <w:rPr>
          <w:rFonts w:hint="eastAsia" w:eastAsiaTheme="minorEastAsia"/>
          <w:sz w:val="20"/>
          <w:szCs w:val="20"/>
          <w:lang w:val="en-GB"/>
        </w:rPr>
        <w:t>4-241</w:t>
      </w:r>
      <w:r>
        <w:rPr>
          <w:rFonts w:hint="eastAsia" w:eastAsiaTheme="minorEastAsia"/>
          <w:sz w:val="20"/>
          <w:szCs w:val="20"/>
          <w:lang w:val="en-US" w:eastAsia="zh-CN"/>
        </w:rPr>
        <w:t>6555</w:t>
      </w:r>
      <w:r>
        <w:rPr>
          <w:rFonts w:eastAsiaTheme="minorEastAsia"/>
          <w:sz w:val="20"/>
          <w:szCs w:val="20"/>
          <w:lang w:val="en-GB"/>
        </w:rPr>
        <w:t xml:space="preserve">, </w:t>
      </w:r>
      <w:r>
        <w:rPr>
          <w:rFonts w:hint="eastAsia" w:eastAsiaTheme="minorEastAsia"/>
          <w:sz w:val="20"/>
          <w:szCs w:val="20"/>
          <w:lang w:val="en-GB"/>
        </w:rPr>
        <w:t>WF for [112bis][320] NR_demod_Ph5_Part2_UE</w:t>
      </w:r>
      <w:r>
        <w:rPr>
          <w:rFonts w:hint="eastAsia" w:eastAsiaTheme="minorEastAsia"/>
          <w:sz w:val="20"/>
          <w:szCs w:val="20"/>
          <w:lang w:val="en-US" w:eastAsia="zh-CN"/>
        </w:rPr>
        <w:t>, Moderator (Nokia)</w:t>
      </w:r>
    </w:p>
    <w:p>
      <w:pPr>
        <w:rPr>
          <w:rFonts w:eastAsiaTheme="minorEastAsia"/>
          <w:sz w:val="20"/>
          <w:szCs w:val="20"/>
          <w:lang w:val="en-GB"/>
        </w:rPr>
      </w:pPr>
    </w:p>
    <w:sectPr>
      <w:pgSz w:w="11900" w:h="16840"/>
      <w:pgMar w:top="1134"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317825"/>
    <w:multiLevelType w:val="singleLevel"/>
    <w:tmpl w:val="E9317825"/>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6051CF4"/>
    <w:multiLevelType w:val="multilevel"/>
    <w:tmpl w:val="66051CF4"/>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79C84463"/>
    <w:multiLevelType w:val="multilevel"/>
    <w:tmpl w:val="79C84463"/>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1"/>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7628E0"/>
    <w:rsid w:val="02163B5E"/>
    <w:rsid w:val="02195828"/>
    <w:rsid w:val="024C3B89"/>
    <w:rsid w:val="03BD00D9"/>
    <w:rsid w:val="03EC63C9"/>
    <w:rsid w:val="046240A5"/>
    <w:rsid w:val="04B95A16"/>
    <w:rsid w:val="04BD7273"/>
    <w:rsid w:val="072126BE"/>
    <w:rsid w:val="076B39E4"/>
    <w:rsid w:val="07DC2DF1"/>
    <w:rsid w:val="07EA14B7"/>
    <w:rsid w:val="0852407E"/>
    <w:rsid w:val="09183871"/>
    <w:rsid w:val="0A4D7676"/>
    <w:rsid w:val="0B031BD3"/>
    <w:rsid w:val="0B5E1C21"/>
    <w:rsid w:val="0E373442"/>
    <w:rsid w:val="0E3B3604"/>
    <w:rsid w:val="0E805B23"/>
    <w:rsid w:val="0EC114B0"/>
    <w:rsid w:val="110C3BDF"/>
    <w:rsid w:val="113C04E1"/>
    <w:rsid w:val="11EC3624"/>
    <w:rsid w:val="12100603"/>
    <w:rsid w:val="138B6BB2"/>
    <w:rsid w:val="139117AD"/>
    <w:rsid w:val="143164E7"/>
    <w:rsid w:val="143E2D1E"/>
    <w:rsid w:val="14DA3FBC"/>
    <w:rsid w:val="160675EB"/>
    <w:rsid w:val="161D3503"/>
    <w:rsid w:val="16383B80"/>
    <w:rsid w:val="1706234B"/>
    <w:rsid w:val="18761C3F"/>
    <w:rsid w:val="18B91234"/>
    <w:rsid w:val="18C46E74"/>
    <w:rsid w:val="19911272"/>
    <w:rsid w:val="19B41DED"/>
    <w:rsid w:val="1A7651FA"/>
    <w:rsid w:val="1C277B2A"/>
    <w:rsid w:val="1FCA4D36"/>
    <w:rsid w:val="202A27D1"/>
    <w:rsid w:val="206A69BE"/>
    <w:rsid w:val="20EF1296"/>
    <w:rsid w:val="218A2C7D"/>
    <w:rsid w:val="21DE3A39"/>
    <w:rsid w:val="242A63A6"/>
    <w:rsid w:val="24596D0B"/>
    <w:rsid w:val="246A4318"/>
    <w:rsid w:val="24713BE1"/>
    <w:rsid w:val="24C811D2"/>
    <w:rsid w:val="24F611B1"/>
    <w:rsid w:val="26B36FEF"/>
    <w:rsid w:val="26E5752B"/>
    <w:rsid w:val="278F1C29"/>
    <w:rsid w:val="282F4A63"/>
    <w:rsid w:val="283574F8"/>
    <w:rsid w:val="284736CF"/>
    <w:rsid w:val="294319F9"/>
    <w:rsid w:val="29EB4110"/>
    <w:rsid w:val="2A7E3D94"/>
    <w:rsid w:val="2A8E045D"/>
    <w:rsid w:val="2CB0799D"/>
    <w:rsid w:val="2CF775D2"/>
    <w:rsid w:val="2DEE751D"/>
    <w:rsid w:val="2F864066"/>
    <w:rsid w:val="30A071DD"/>
    <w:rsid w:val="31750BD1"/>
    <w:rsid w:val="317E652A"/>
    <w:rsid w:val="32997AB4"/>
    <w:rsid w:val="32F26A43"/>
    <w:rsid w:val="33122AC2"/>
    <w:rsid w:val="33BE40E6"/>
    <w:rsid w:val="341D68C0"/>
    <w:rsid w:val="3B862944"/>
    <w:rsid w:val="3B952CE7"/>
    <w:rsid w:val="3CA34736"/>
    <w:rsid w:val="3DBD6EB2"/>
    <w:rsid w:val="3F792880"/>
    <w:rsid w:val="406B713F"/>
    <w:rsid w:val="40CF2BC3"/>
    <w:rsid w:val="41134EC3"/>
    <w:rsid w:val="41430049"/>
    <w:rsid w:val="418D344D"/>
    <w:rsid w:val="41D37C5D"/>
    <w:rsid w:val="4202058A"/>
    <w:rsid w:val="429546AA"/>
    <w:rsid w:val="43131FB5"/>
    <w:rsid w:val="436B3EEB"/>
    <w:rsid w:val="4374126F"/>
    <w:rsid w:val="44B24329"/>
    <w:rsid w:val="45150359"/>
    <w:rsid w:val="46925129"/>
    <w:rsid w:val="46C06704"/>
    <w:rsid w:val="46E32FBC"/>
    <w:rsid w:val="474E78D3"/>
    <w:rsid w:val="4AA160C5"/>
    <w:rsid w:val="4AAF53D6"/>
    <w:rsid w:val="4DA37337"/>
    <w:rsid w:val="4DD642A7"/>
    <w:rsid w:val="4FD81069"/>
    <w:rsid w:val="501228E1"/>
    <w:rsid w:val="501677F0"/>
    <w:rsid w:val="502A4A62"/>
    <w:rsid w:val="504A4FDD"/>
    <w:rsid w:val="50CA72DC"/>
    <w:rsid w:val="511C3E4C"/>
    <w:rsid w:val="53F83FD3"/>
    <w:rsid w:val="54CD03D4"/>
    <w:rsid w:val="55487CEC"/>
    <w:rsid w:val="558B6A30"/>
    <w:rsid w:val="559E607A"/>
    <w:rsid w:val="55E26BB3"/>
    <w:rsid w:val="56855E54"/>
    <w:rsid w:val="580B0311"/>
    <w:rsid w:val="583F05DF"/>
    <w:rsid w:val="584D0A2B"/>
    <w:rsid w:val="58556A81"/>
    <w:rsid w:val="592D7A06"/>
    <w:rsid w:val="59B212B6"/>
    <w:rsid w:val="5B330B7A"/>
    <w:rsid w:val="5C257189"/>
    <w:rsid w:val="5DEB6EA5"/>
    <w:rsid w:val="5E322F82"/>
    <w:rsid w:val="5F123686"/>
    <w:rsid w:val="600D6E62"/>
    <w:rsid w:val="620A7660"/>
    <w:rsid w:val="622B6C71"/>
    <w:rsid w:val="628F7645"/>
    <w:rsid w:val="62C60989"/>
    <w:rsid w:val="659A4242"/>
    <w:rsid w:val="65CA1897"/>
    <w:rsid w:val="667944E3"/>
    <w:rsid w:val="67254FAA"/>
    <w:rsid w:val="67D31308"/>
    <w:rsid w:val="68B34721"/>
    <w:rsid w:val="69F6022C"/>
    <w:rsid w:val="6A2853AA"/>
    <w:rsid w:val="6A675B29"/>
    <w:rsid w:val="6BF53BAD"/>
    <w:rsid w:val="6C5C2CD7"/>
    <w:rsid w:val="6C7B38DA"/>
    <w:rsid w:val="6F71461A"/>
    <w:rsid w:val="6F997566"/>
    <w:rsid w:val="6FFE2CF5"/>
    <w:rsid w:val="711D4E21"/>
    <w:rsid w:val="71882E8E"/>
    <w:rsid w:val="71C95ABE"/>
    <w:rsid w:val="73FD462A"/>
    <w:rsid w:val="74595EA3"/>
    <w:rsid w:val="74A619E4"/>
    <w:rsid w:val="74D41FF8"/>
    <w:rsid w:val="74DE1908"/>
    <w:rsid w:val="75827AF8"/>
    <w:rsid w:val="75B92E5D"/>
    <w:rsid w:val="75CA3013"/>
    <w:rsid w:val="769A7557"/>
    <w:rsid w:val="77DA1E49"/>
    <w:rsid w:val="78640611"/>
    <w:rsid w:val="78DD19E0"/>
    <w:rsid w:val="79355A99"/>
    <w:rsid w:val="79427311"/>
    <w:rsid w:val="7A9A41EB"/>
    <w:rsid w:val="7B903AA1"/>
    <w:rsid w:val="7CAD001B"/>
    <w:rsid w:val="7D0D4989"/>
    <w:rsid w:val="7DFE2E40"/>
    <w:rsid w:val="7E516DF9"/>
    <w:rsid w:val="7E675D6F"/>
    <w:rsid w:val="7EF91DDE"/>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10</Pages>
  <Words>2366</Words>
  <Characters>13491</Characters>
  <Lines>112</Lines>
  <Paragraphs>31</Paragraphs>
  <TotalTime>0</TotalTime>
  <ScaleCrop>false</ScaleCrop>
  <LinksUpToDate>false</LinksUpToDate>
  <CharactersWithSpaces>15826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2024-11-08T07:44:54Z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1B5FA489B6684E2C9426DDD8CDDDA00C</vt:lpwstr>
  </property>
</Properties>
</file>